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64" w:rsidRDefault="0047056B"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74AF18B4" wp14:editId="7C5399FD">
            <wp:extent cx="5731510" cy="75338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33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56B" w:rsidRPr="003B1DA6" w:rsidRDefault="0047056B" w:rsidP="0047056B">
      <w:pPr>
        <w:spacing w:line="48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D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Supplemental Figure 1: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PI3K-δ, but not PI3K-</w:t>
      </w:r>
      <w:proofErr w:type="gramStart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α or</w:t>
      </w:r>
      <w:proofErr w:type="gramEnd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PI3K-β inhibition preserves the memory phenotype. Non-fractionated </w:t>
      </w:r>
      <w:proofErr w:type="spellStart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splenocytes</w:t>
      </w:r>
      <w:proofErr w:type="spellEnd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pMel-1 mice were activated with gp100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25-33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peptide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(1µM) in the presence or absence of A66 (32, 96 and 288nM), TGX-221 (5, 15 and 45nM) or CAL-101(0</w:t>
      </w:r>
      <w:proofErr w:type="gramStart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,28</w:t>
      </w:r>
      <w:proofErr w:type="gramEnd"/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, 0.83, 2.5, 7.5, 22.5, 67.5 or 202.5nM).  The gated cells were viable (7AAD-) CD8+Vβ13+.</w:t>
      </w:r>
    </w:p>
    <w:p w:rsidR="0047056B" w:rsidRPr="003B1DA6" w:rsidRDefault="0047056B" w:rsidP="0047056B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PI3K-α inhibition does not affect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CD8+ T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-cell phenotype at all the tested concentrations. </w:t>
      </w:r>
    </w:p>
    <w:p w:rsidR="0047056B" w:rsidRPr="003B1DA6" w:rsidRDefault="0047056B" w:rsidP="0047056B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PI3K-β inhibition does not affect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CD8+ T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-cell phenotype at all the tested concentrations.</w:t>
      </w:r>
      <w:r w:rsidRPr="003B1DA6" w:rsidDel="00477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056B" w:rsidRDefault="0047056B" w:rsidP="0047056B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PI3K-δ inhibition preserves the memory phenotype in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concentration </w:t>
      </w:r>
      <w:r w:rsidRPr="003B1DA6">
        <w:rPr>
          <w:rFonts w:ascii="Times New Roman" w:hAnsi="Times New Roman" w:cs="Times New Roman"/>
          <w:color w:val="000000" w:themeColor="text1"/>
          <w:sz w:val="24"/>
          <w:szCs w:val="24"/>
        </w:rPr>
        <w:t>dependent manner.</w:t>
      </w:r>
    </w:p>
    <w:p w:rsidR="0047056B" w:rsidRPr="00BC1BE0" w:rsidRDefault="0047056B" w:rsidP="0047056B">
      <w:pPr>
        <w:pStyle w:val="ListParagraph"/>
        <w:numPr>
          <w:ilvl w:val="0"/>
          <w:numId w:val="1"/>
        </w:numPr>
        <w:spacing w:line="480" w:lineRule="auto"/>
        <w:ind w:left="-993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ability of CD8+ T-cells to produce </w:t>
      </w:r>
      <w:proofErr w:type="spellStart"/>
      <w:r w:rsidRPr="00BC1BE0">
        <w:rPr>
          <w:rFonts w:ascii="Times New Roman" w:hAnsi="Times New Roman" w:cs="Times New Roman"/>
          <w:color w:val="000000" w:themeColor="text1"/>
          <w:sz w:val="24"/>
          <w:szCs w:val="24"/>
        </w:rPr>
        <w:t>Granzyme</w:t>
      </w:r>
      <w:proofErr w:type="spellEnd"/>
      <w:r w:rsidRPr="00BC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gramStart"/>
      <w:r w:rsidRPr="00BC1BE0">
        <w:rPr>
          <w:rFonts w:ascii="Times New Roman" w:hAnsi="Times New Roman" w:cs="Times New Roman"/>
          <w:color w:val="000000" w:themeColor="text1"/>
          <w:sz w:val="24"/>
          <w:szCs w:val="24"/>
        </w:rPr>
        <w:t>was not affected</w:t>
      </w:r>
      <w:proofErr w:type="gramEnd"/>
      <w:r w:rsidRPr="00BC1B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inhibition of any of the PI3K isoforms at any concentration</w:t>
      </w:r>
      <w:r w:rsidRPr="00BC1B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056B" w:rsidRDefault="0047056B">
      <w:bookmarkStart w:id="0" w:name="_GoBack"/>
      <w:bookmarkEnd w:id="0"/>
    </w:p>
    <w:sectPr w:rsidR="00470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12C"/>
    <w:multiLevelType w:val="hybridMultilevel"/>
    <w:tmpl w:val="91281A2A"/>
    <w:lvl w:ilvl="0" w:tplc="F1587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6B"/>
    <w:rsid w:val="00456964"/>
    <w:rsid w:val="0047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56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56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Abu-Eid, Rasha</dc:creator>
  <cp:lastModifiedBy>Abu-Eid, Rasha</cp:lastModifiedBy>
  <cp:revision>1</cp:revision>
  <dcterms:created xsi:type="dcterms:W3CDTF">2017-02-09T13:09:00Z</dcterms:created>
  <dcterms:modified xsi:type="dcterms:W3CDTF">2017-02-09T13:09:00Z</dcterms:modified>
</cp:coreProperties>
</file>