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7D" w:rsidRPr="003F502F" w:rsidRDefault="00846E34" w:rsidP="003F502F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Supplementary </w:t>
      </w:r>
      <w:r w:rsidR="00C466B6" w:rsidRPr="003F502F">
        <w:rPr>
          <w:rFonts w:ascii="Arial" w:hAnsi="Arial" w:cs="Arial"/>
          <w:b/>
        </w:rPr>
        <w:t>Figure legends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proofErr w:type="gramStart"/>
      <w:r w:rsidRPr="00846E34">
        <w:rPr>
          <w:rFonts w:ascii="Arial" w:hAnsi="Arial" w:cs="Arial"/>
        </w:rPr>
        <w:t>Supplementary</w:t>
      </w:r>
      <w:r w:rsidRPr="00846E34">
        <w:rPr>
          <w:rFonts w:ascii="Arial" w:hAnsi="Arial" w:cs="Arial"/>
          <w:noProof/>
          <w:lang w:eastAsia="en-GB"/>
        </w:rPr>
        <w:t xml:space="preserve"> Figure S1.</w:t>
      </w:r>
      <w:proofErr w:type="gramEnd"/>
      <w:r w:rsidRPr="00846E34">
        <w:rPr>
          <w:rFonts w:ascii="Arial" w:hAnsi="Arial" w:cs="Arial"/>
          <w:noProof/>
          <w:lang w:eastAsia="en-GB"/>
        </w:rPr>
        <w:t xml:space="preserve"> Odds ratios for prostate cancer associated with an 80 percentile increase in IGF-II among all cases and their matched controls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proofErr w:type="gramStart"/>
      <w:r w:rsidRPr="00846E34">
        <w:rPr>
          <w:rFonts w:ascii="Arial" w:hAnsi="Arial" w:cs="Arial"/>
        </w:rPr>
        <w:t>Supplementary</w:t>
      </w:r>
      <w:r w:rsidRPr="00846E34">
        <w:rPr>
          <w:rFonts w:ascii="Arial" w:hAnsi="Arial" w:cs="Arial"/>
          <w:noProof/>
          <w:lang w:eastAsia="en-GB"/>
        </w:rPr>
        <w:t xml:space="preserve"> Figure S2.</w:t>
      </w:r>
      <w:proofErr w:type="gramEnd"/>
      <w:r w:rsidRPr="00846E34">
        <w:rPr>
          <w:rFonts w:ascii="Arial" w:hAnsi="Arial" w:cs="Arial"/>
          <w:noProof/>
          <w:lang w:eastAsia="en-GB"/>
        </w:rPr>
        <w:t xml:space="preserve"> Odds ratios for prostate cancer associated with an 80 percentile increase in IGFBP-1 among all cases and their matched controls (data are only available for IGFBP-1 from prospective studies and not cross-sectional studies)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proofErr w:type="gramStart"/>
      <w:r w:rsidRPr="00846E34">
        <w:rPr>
          <w:rFonts w:ascii="Arial" w:hAnsi="Arial" w:cs="Arial"/>
        </w:rPr>
        <w:t>Supplementary</w:t>
      </w:r>
      <w:r w:rsidRPr="00846E34">
        <w:rPr>
          <w:rFonts w:ascii="Arial" w:hAnsi="Arial" w:cs="Arial"/>
          <w:noProof/>
          <w:lang w:eastAsia="en-GB"/>
        </w:rPr>
        <w:t xml:space="preserve"> Figure S3.</w:t>
      </w:r>
      <w:proofErr w:type="gramEnd"/>
      <w:r w:rsidRPr="00846E34">
        <w:rPr>
          <w:rFonts w:ascii="Arial" w:hAnsi="Arial" w:cs="Arial"/>
          <w:noProof/>
          <w:lang w:eastAsia="en-GB"/>
        </w:rPr>
        <w:t xml:space="preserve"> Odds ratios for prostate cancer associated with an 80 percentile increase in IGFBP-2 among all cases and their matched controls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t>Supplementary Figure S4. Odds ratios for prostate cancer associated with an 80 percentile increase in IGFBP-3 among all cases and their matched controls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t>Supplementary Figure S5. Odds ratios for prostate cancer associated with an 80 percentile increase in IGF-I among all cases and their matched controls in all studies, subdivided by various factors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t>Supplementary Figure S6. Odds ratios for prostate cancer associated with an 80 percentile increase in IGF-II among all cases and their matched controls, subdivided by various factors</w:t>
      </w:r>
    </w:p>
    <w:p w:rsidR="003F502F" w:rsidRPr="00846E34" w:rsidRDefault="003F502F" w:rsidP="003F502F">
      <w:pPr>
        <w:spacing w:before="120" w:line="360" w:lineRule="auto"/>
        <w:jc w:val="both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t xml:space="preserve">Supplementary Figure S7. Odds ratios for prostate cancer associated with an 80 percentile increase in IGF-II among cases and their matched controls in prospective studies, subdivided by various factors 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t>Supplementary Figure S8. Odds ratios for prostate cancer associated with an 80 percentile increase in IGFBP-1 among cases and their matched controls in prospective studies, subdivided by various factors (data are only available for IGFBP-1 from prospective studies and not cross-sectional studies)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t>Supplementary Figure S9. Odds ratios for prostate cancer associated with an 80 percentile increase in IGFBP-2 among all cases and their matched controls, subdivided by various factors</w:t>
      </w:r>
    </w:p>
    <w:p w:rsidR="003F502F" w:rsidRPr="00846E34" w:rsidRDefault="003F502F" w:rsidP="003F502F">
      <w:pPr>
        <w:spacing w:before="120" w:line="360" w:lineRule="auto"/>
        <w:jc w:val="both"/>
        <w:rPr>
          <w:rFonts w:ascii="Arial" w:hAnsi="Arial" w:cs="Arial"/>
        </w:rPr>
      </w:pPr>
      <w:r w:rsidRPr="00846E34">
        <w:rPr>
          <w:rFonts w:ascii="Arial" w:hAnsi="Arial" w:cs="Arial"/>
          <w:noProof/>
          <w:lang w:eastAsia="en-GB"/>
        </w:rPr>
        <w:t>Supplementary Figure S10. Odds ratios for prostate cancer associated with an 80 percentile increase in IGFBP-2 among cases and their matched controls in prospective studies, subdivided by various factors</w:t>
      </w:r>
      <w:r w:rsidRPr="00846E34">
        <w:rPr>
          <w:rFonts w:ascii="Arial" w:hAnsi="Arial" w:cs="Arial"/>
        </w:rPr>
        <w:t xml:space="preserve"> 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t>Supplementary Figure S11. Odds ratios for prostate cancer associated with an 80 percentile increase in IGFBP-3 among all cases and their matched controls, subdivided by various factors</w:t>
      </w:r>
    </w:p>
    <w:p w:rsidR="003F502F" w:rsidRPr="00846E34" w:rsidRDefault="003F502F" w:rsidP="003F502F">
      <w:pPr>
        <w:spacing w:before="120" w:line="360" w:lineRule="auto"/>
        <w:jc w:val="both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lastRenderedPageBreak/>
        <w:t>Supplementary Figure S12. Odds ratios for prostate cancer associated with an 80 percentile increase in IGFBP-3 among cases and their matched controls in prospective studies, subdivided by various factors</w:t>
      </w:r>
    </w:p>
    <w:p w:rsidR="003F502F" w:rsidRPr="00846E34" w:rsidRDefault="003F502F" w:rsidP="003F502F">
      <w:pPr>
        <w:spacing w:before="120" w:line="360" w:lineRule="auto"/>
        <w:jc w:val="both"/>
        <w:rPr>
          <w:rFonts w:ascii="Arial" w:hAnsi="Arial" w:cs="Arial"/>
        </w:rPr>
      </w:pPr>
      <w:r w:rsidRPr="00846E34">
        <w:rPr>
          <w:rFonts w:ascii="Arial" w:hAnsi="Arial" w:cs="Arial"/>
          <w:noProof/>
          <w:lang w:eastAsia="en-GB"/>
        </w:rPr>
        <w:t>Supplementary Figure S13. Odds ratios for aggressive prostate cancer by study-specific fifths of concentrations of selected insulin-like growth factors and their binding proteins among cases and their matched controls in prospective studies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t>Supplementary Figure S14. Odds ratios for prostate cancer by study-specific fifth of selected IGFs in cases and their matched controls in all studies, adjusted for marital status, educational level, smoking status and BMI</w:t>
      </w:r>
    </w:p>
    <w:p w:rsidR="003F502F" w:rsidRPr="00846E34" w:rsidRDefault="003F502F" w:rsidP="003F502F">
      <w:pPr>
        <w:spacing w:before="120" w:after="0" w:line="360" w:lineRule="auto"/>
        <w:rPr>
          <w:rFonts w:ascii="Arial" w:hAnsi="Arial" w:cs="Arial"/>
          <w:noProof/>
          <w:lang w:eastAsia="en-GB"/>
        </w:rPr>
      </w:pPr>
      <w:r w:rsidRPr="00846E34">
        <w:rPr>
          <w:rFonts w:ascii="Arial" w:hAnsi="Arial" w:cs="Arial"/>
          <w:noProof/>
          <w:lang w:eastAsia="en-GB"/>
        </w:rPr>
        <w:t>Supplementary Figure S15. Odds ratios for prostate cancer by study-specific fifth of selected IGFs in cases and their matched controls in prospective studies, adjusted for marital status, educational level, smoking status and BMI</w:t>
      </w:r>
    </w:p>
    <w:p w:rsidR="003F502F" w:rsidRPr="00846E34" w:rsidRDefault="003F502F" w:rsidP="003F502F">
      <w:pPr>
        <w:spacing w:line="360" w:lineRule="auto"/>
        <w:rPr>
          <w:rFonts w:ascii="Arial" w:hAnsi="Arial" w:cs="Arial"/>
        </w:rPr>
      </w:pPr>
    </w:p>
    <w:sectPr w:rsidR="003F502F" w:rsidRPr="00846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6"/>
    <w:rsid w:val="0001407D"/>
    <w:rsid w:val="000244DE"/>
    <w:rsid w:val="00025070"/>
    <w:rsid w:val="000272D5"/>
    <w:rsid w:val="00045414"/>
    <w:rsid w:val="00047A90"/>
    <w:rsid w:val="00066253"/>
    <w:rsid w:val="00091E88"/>
    <w:rsid w:val="00164B21"/>
    <w:rsid w:val="0018071B"/>
    <w:rsid w:val="00182742"/>
    <w:rsid w:val="001A0454"/>
    <w:rsid w:val="001A1BFD"/>
    <w:rsid w:val="001B470A"/>
    <w:rsid w:val="002100F9"/>
    <w:rsid w:val="00246554"/>
    <w:rsid w:val="00246EE9"/>
    <w:rsid w:val="00247C0F"/>
    <w:rsid w:val="00255BBB"/>
    <w:rsid w:val="00276548"/>
    <w:rsid w:val="00290B01"/>
    <w:rsid w:val="00294CEC"/>
    <w:rsid w:val="002C437E"/>
    <w:rsid w:val="002D0C99"/>
    <w:rsid w:val="002E72F9"/>
    <w:rsid w:val="002F5FB5"/>
    <w:rsid w:val="00314638"/>
    <w:rsid w:val="00316528"/>
    <w:rsid w:val="00324BC6"/>
    <w:rsid w:val="00333957"/>
    <w:rsid w:val="00345592"/>
    <w:rsid w:val="00357F0A"/>
    <w:rsid w:val="00367496"/>
    <w:rsid w:val="00373ACF"/>
    <w:rsid w:val="003B01BE"/>
    <w:rsid w:val="003C1361"/>
    <w:rsid w:val="003D4661"/>
    <w:rsid w:val="003D6D28"/>
    <w:rsid w:val="003F502F"/>
    <w:rsid w:val="003F724F"/>
    <w:rsid w:val="00402A64"/>
    <w:rsid w:val="00455B5A"/>
    <w:rsid w:val="00465966"/>
    <w:rsid w:val="00465EAC"/>
    <w:rsid w:val="00483ED7"/>
    <w:rsid w:val="004A1108"/>
    <w:rsid w:val="004C153C"/>
    <w:rsid w:val="004C5827"/>
    <w:rsid w:val="004C72B4"/>
    <w:rsid w:val="00500486"/>
    <w:rsid w:val="00504397"/>
    <w:rsid w:val="00505F9F"/>
    <w:rsid w:val="005079B6"/>
    <w:rsid w:val="00510D62"/>
    <w:rsid w:val="005575D1"/>
    <w:rsid w:val="00566D78"/>
    <w:rsid w:val="005A1B74"/>
    <w:rsid w:val="005A4988"/>
    <w:rsid w:val="005B2E7A"/>
    <w:rsid w:val="0060240E"/>
    <w:rsid w:val="0061154A"/>
    <w:rsid w:val="00613C97"/>
    <w:rsid w:val="00623372"/>
    <w:rsid w:val="006258AE"/>
    <w:rsid w:val="00625D3A"/>
    <w:rsid w:val="00640972"/>
    <w:rsid w:val="00646730"/>
    <w:rsid w:val="006560AF"/>
    <w:rsid w:val="00671E3F"/>
    <w:rsid w:val="00675C89"/>
    <w:rsid w:val="00745CE5"/>
    <w:rsid w:val="00783E59"/>
    <w:rsid w:val="007844EB"/>
    <w:rsid w:val="007947A3"/>
    <w:rsid w:val="00796564"/>
    <w:rsid w:val="007A1FB7"/>
    <w:rsid w:val="007D13CF"/>
    <w:rsid w:val="007D2537"/>
    <w:rsid w:val="007E0951"/>
    <w:rsid w:val="007E4C25"/>
    <w:rsid w:val="007E61A9"/>
    <w:rsid w:val="007F481C"/>
    <w:rsid w:val="008149BC"/>
    <w:rsid w:val="00814E75"/>
    <w:rsid w:val="00825712"/>
    <w:rsid w:val="00846E34"/>
    <w:rsid w:val="00861DFD"/>
    <w:rsid w:val="00863D57"/>
    <w:rsid w:val="008B2014"/>
    <w:rsid w:val="008B7FFB"/>
    <w:rsid w:val="008C0CDB"/>
    <w:rsid w:val="00912320"/>
    <w:rsid w:val="00912D69"/>
    <w:rsid w:val="00941FBA"/>
    <w:rsid w:val="009507A6"/>
    <w:rsid w:val="0099799A"/>
    <w:rsid w:val="009A2A6A"/>
    <w:rsid w:val="00A15447"/>
    <w:rsid w:val="00A3532E"/>
    <w:rsid w:val="00A42A24"/>
    <w:rsid w:val="00A43F66"/>
    <w:rsid w:val="00A85C10"/>
    <w:rsid w:val="00AA447C"/>
    <w:rsid w:val="00AE01ED"/>
    <w:rsid w:val="00B32974"/>
    <w:rsid w:val="00B753C8"/>
    <w:rsid w:val="00B76AAF"/>
    <w:rsid w:val="00B805EB"/>
    <w:rsid w:val="00BA7171"/>
    <w:rsid w:val="00BC6B57"/>
    <w:rsid w:val="00BD4126"/>
    <w:rsid w:val="00C11682"/>
    <w:rsid w:val="00C1303B"/>
    <w:rsid w:val="00C30ECF"/>
    <w:rsid w:val="00C31307"/>
    <w:rsid w:val="00C466B6"/>
    <w:rsid w:val="00C53059"/>
    <w:rsid w:val="00C55DC5"/>
    <w:rsid w:val="00C7420E"/>
    <w:rsid w:val="00C765B1"/>
    <w:rsid w:val="00C76610"/>
    <w:rsid w:val="00CB7651"/>
    <w:rsid w:val="00CE5CBC"/>
    <w:rsid w:val="00D22C22"/>
    <w:rsid w:val="00D57B7B"/>
    <w:rsid w:val="00D71AB5"/>
    <w:rsid w:val="00D72F70"/>
    <w:rsid w:val="00D83335"/>
    <w:rsid w:val="00D90467"/>
    <w:rsid w:val="00DC56F8"/>
    <w:rsid w:val="00DF0452"/>
    <w:rsid w:val="00DF51C4"/>
    <w:rsid w:val="00E472A1"/>
    <w:rsid w:val="00E5292F"/>
    <w:rsid w:val="00E64EEF"/>
    <w:rsid w:val="00E7372C"/>
    <w:rsid w:val="00E7489B"/>
    <w:rsid w:val="00E80AB6"/>
    <w:rsid w:val="00E85124"/>
    <w:rsid w:val="00EA34BA"/>
    <w:rsid w:val="00EB4421"/>
    <w:rsid w:val="00EE2230"/>
    <w:rsid w:val="00F471A6"/>
    <w:rsid w:val="00F51F90"/>
    <w:rsid w:val="00F522DD"/>
    <w:rsid w:val="00F55D70"/>
    <w:rsid w:val="00F56E40"/>
    <w:rsid w:val="00F661B6"/>
    <w:rsid w:val="00F911A4"/>
    <w:rsid w:val="00FB741C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Travis</dc:creator>
  <cp:lastModifiedBy>Kostelnik, Julie</cp:lastModifiedBy>
  <cp:revision>2</cp:revision>
  <cp:lastPrinted>2016-01-26T11:59:00Z</cp:lastPrinted>
  <dcterms:created xsi:type="dcterms:W3CDTF">2016-01-28T16:39:00Z</dcterms:created>
  <dcterms:modified xsi:type="dcterms:W3CDTF">2016-01-28T16:39:00Z</dcterms:modified>
</cp:coreProperties>
</file>