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13" w:rsidRPr="0010385B" w:rsidRDefault="00F87513" w:rsidP="00F87513">
      <w:pPr>
        <w:widowControl w:val="0"/>
        <w:kinsoku w:val="0"/>
        <w:overflowPunct w:val="0"/>
        <w:autoSpaceDE w:val="0"/>
        <w:autoSpaceDN w:val="0"/>
        <w:spacing w:line="480" w:lineRule="auto"/>
        <w:contextualSpacing/>
        <w:rPr>
          <w:b/>
          <w:strike/>
          <w:sz w:val="24"/>
          <w:szCs w:val="24"/>
        </w:rPr>
      </w:pPr>
      <w:r w:rsidRPr="0010385B">
        <w:rPr>
          <w:b/>
          <w:sz w:val="24"/>
          <w:szCs w:val="24"/>
        </w:rPr>
        <w:t xml:space="preserve">Supplementary Materials and Methods </w:t>
      </w:r>
    </w:p>
    <w:p w:rsidR="00F87513" w:rsidRPr="0010385B" w:rsidRDefault="00F87513" w:rsidP="00F87513">
      <w:pPr>
        <w:widowControl w:val="0"/>
        <w:kinsoku w:val="0"/>
        <w:overflowPunct w:val="0"/>
        <w:autoSpaceDE w:val="0"/>
        <w:autoSpaceDN w:val="0"/>
        <w:spacing w:line="480" w:lineRule="auto"/>
        <w:contextualSpacing/>
        <w:rPr>
          <w:sz w:val="24"/>
          <w:szCs w:val="24"/>
        </w:rPr>
      </w:pPr>
      <w:r w:rsidRPr="0010385B">
        <w:rPr>
          <w:b/>
          <w:sz w:val="24"/>
          <w:szCs w:val="24"/>
        </w:rPr>
        <w:t>Short Tandem Repeat Polymerase Chain Reaction Analysis</w:t>
      </w:r>
      <w:r w:rsidRPr="0010385B">
        <w:rPr>
          <w:sz w:val="24"/>
          <w:szCs w:val="24"/>
        </w:rPr>
        <w:t xml:space="preserve"> </w:t>
      </w:r>
    </w:p>
    <w:p w:rsidR="00F87513" w:rsidRPr="0010385B" w:rsidRDefault="00F87513" w:rsidP="00F87513">
      <w:pPr>
        <w:widowControl w:val="0"/>
        <w:kinsoku w:val="0"/>
        <w:overflowPunct w:val="0"/>
        <w:autoSpaceDE w:val="0"/>
        <w:autoSpaceDN w:val="0"/>
        <w:spacing w:line="480" w:lineRule="auto"/>
        <w:contextualSpacing/>
        <w:rPr>
          <w:sz w:val="24"/>
          <w:szCs w:val="24"/>
        </w:rPr>
      </w:pPr>
      <w:r w:rsidRPr="0010385B">
        <w:rPr>
          <w:sz w:val="24"/>
          <w:szCs w:val="24"/>
        </w:rPr>
        <w:t>The identities of all parental and resistant cells were confirmed by short tandem repeat polymerase chain reaction analysis using the Cell ID System (Promega) according to the manufacturer’s instructions.</w:t>
      </w:r>
    </w:p>
    <w:p w:rsidR="00F87513" w:rsidRPr="0010385B" w:rsidRDefault="00F87513" w:rsidP="00F87513">
      <w:pPr>
        <w:spacing w:before="100" w:beforeAutospacing="1" w:line="480" w:lineRule="auto"/>
        <w:rPr>
          <w:b/>
          <w:color w:val="auto"/>
          <w:sz w:val="24"/>
          <w:szCs w:val="24"/>
        </w:rPr>
      </w:pPr>
    </w:p>
    <w:p w:rsidR="00F87513" w:rsidRPr="0010385B" w:rsidRDefault="00F87513" w:rsidP="00F87513">
      <w:pPr>
        <w:spacing w:before="100" w:beforeAutospacing="1" w:line="480" w:lineRule="auto"/>
        <w:rPr>
          <w:color w:val="auto"/>
          <w:sz w:val="24"/>
          <w:szCs w:val="24"/>
        </w:rPr>
      </w:pPr>
      <w:r w:rsidRPr="0010385B">
        <w:rPr>
          <w:b/>
          <w:color w:val="auto"/>
          <w:sz w:val="24"/>
          <w:szCs w:val="24"/>
        </w:rPr>
        <w:t xml:space="preserve">Sequencing of the </w:t>
      </w:r>
      <w:r w:rsidRPr="0010385B">
        <w:rPr>
          <w:b/>
          <w:color w:val="auto"/>
          <w:sz w:val="24"/>
        </w:rPr>
        <w:t>ALK</w:t>
      </w:r>
      <w:r w:rsidRPr="0010385B">
        <w:rPr>
          <w:b/>
          <w:color w:val="auto"/>
          <w:sz w:val="24"/>
          <w:szCs w:val="24"/>
        </w:rPr>
        <w:t xml:space="preserve"> Kinase Domain</w:t>
      </w:r>
      <w:r w:rsidRPr="0010385B">
        <w:rPr>
          <w:color w:val="auto"/>
          <w:sz w:val="24"/>
          <w:szCs w:val="24"/>
        </w:rPr>
        <w:t xml:space="preserve"> </w:t>
      </w:r>
    </w:p>
    <w:p w:rsidR="00F87513" w:rsidRPr="0010385B" w:rsidRDefault="00F87513" w:rsidP="00F87513">
      <w:pPr>
        <w:spacing w:before="100" w:beforeAutospacing="1" w:line="480" w:lineRule="auto"/>
        <w:rPr>
          <w:sz w:val="24"/>
          <w:szCs w:val="24"/>
        </w:rPr>
      </w:pPr>
      <w:r w:rsidRPr="0010385B">
        <w:rPr>
          <w:sz w:val="24"/>
          <w:szCs w:val="24"/>
        </w:rPr>
        <w:t>cDNA was synthesized, and the exons within the ALK kinase domain were amplified by PCR. PCR products were processed using the BigDye Terminator Cycle sequencing kit (Applied Biosystems) according to the manufacturer’s protocol and analyzed in both the sense and antisense directions for the presence of mutations on the ABI 3100 sequencer (Applied Biosystems). PCR primers and conditions are available upon request.</w:t>
      </w:r>
    </w:p>
    <w:p w:rsidR="00F87513" w:rsidRPr="0010385B" w:rsidRDefault="00F87513" w:rsidP="00F87513">
      <w:pPr>
        <w:widowControl w:val="0"/>
        <w:kinsoku w:val="0"/>
        <w:overflowPunct w:val="0"/>
        <w:autoSpaceDE w:val="0"/>
        <w:autoSpaceDN w:val="0"/>
        <w:spacing w:line="480" w:lineRule="auto"/>
        <w:contextualSpacing/>
        <w:rPr>
          <w:b/>
          <w:sz w:val="24"/>
          <w:szCs w:val="24"/>
        </w:rPr>
      </w:pPr>
    </w:p>
    <w:p w:rsidR="00875F26" w:rsidRPr="0010385B" w:rsidRDefault="00875F26" w:rsidP="00875F26">
      <w:pPr>
        <w:widowControl w:val="0"/>
        <w:kinsoku w:val="0"/>
        <w:overflowPunct w:val="0"/>
        <w:autoSpaceDE w:val="0"/>
        <w:autoSpaceDN w:val="0"/>
        <w:spacing w:line="480" w:lineRule="auto"/>
        <w:contextualSpacing/>
        <w:rPr>
          <w:b/>
          <w:sz w:val="24"/>
          <w:szCs w:val="24"/>
        </w:rPr>
      </w:pPr>
    </w:p>
    <w:p w:rsidR="00875F26" w:rsidRPr="0010385B" w:rsidRDefault="00875F26" w:rsidP="00875F26">
      <w:pPr>
        <w:widowControl w:val="0"/>
        <w:kinsoku w:val="0"/>
        <w:overflowPunct w:val="0"/>
        <w:autoSpaceDE w:val="0"/>
        <w:autoSpaceDN w:val="0"/>
        <w:spacing w:line="480" w:lineRule="auto"/>
        <w:contextualSpacing/>
        <w:rPr>
          <w:b/>
          <w:sz w:val="24"/>
          <w:szCs w:val="24"/>
        </w:rPr>
      </w:pPr>
      <w:r w:rsidRPr="0010385B">
        <w:rPr>
          <w:b/>
          <w:sz w:val="24"/>
          <w:szCs w:val="24"/>
        </w:rPr>
        <w:t>Supplementary Figure Legends</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b/>
          <w:sz w:val="24"/>
          <w:szCs w:val="24"/>
        </w:rPr>
        <w:t>Supplementary Figure 1</w:t>
      </w:r>
      <w:r w:rsidRPr="0010385B">
        <w:rPr>
          <w:sz w:val="24"/>
          <w:szCs w:val="24"/>
        </w:rPr>
        <w:t xml:space="preserve"> </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b/>
          <w:sz w:val="24"/>
          <w:szCs w:val="24"/>
        </w:rPr>
        <w:lastRenderedPageBreak/>
        <w:t>Establishing a method for the alectinib-resistant cell lines and morphological observations</w:t>
      </w:r>
      <w:r w:rsidRPr="0010385B">
        <w:rPr>
          <w:sz w:val="24"/>
          <w:szCs w:val="24"/>
        </w:rPr>
        <w:t xml:space="preserve"> </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sz w:val="24"/>
          <w:szCs w:val="24"/>
        </w:rPr>
        <w:t xml:space="preserve">A, Schema of the method for establishing the alectinib-resistant cell lines. </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sz w:val="24"/>
          <w:szCs w:val="24"/>
        </w:rPr>
        <w:t>Parental cells were cultured with increasing concentrations of alectinib, starting with the IC</w:t>
      </w:r>
      <w:r w:rsidRPr="0010385B">
        <w:rPr>
          <w:sz w:val="24"/>
          <w:szCs w:val="24"/>
          <w:vertAlign w:val="superscript"/>
        </w:rPr>
        <w:t>50</w:t>
      </w:r>
      <w:r w:rsidRPr="0010385B">
        <w:rPr>
          <w:sz w:val="24"/>
          <w:szCs w:val="24"/>
        </w:rPr>
        <w:t xml:space="preserve">, to establish the alectinib-resistant lines. Doses were increased in a stepwise pattern when normal cell proliferation resumed. Fresh drug was added every 96 h. Resistant cells began to grow in 1 μM alectinib after 5 months of culture with the drug. Each clone was derived using a single-cell cloning method. </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sz w:val="24"/>
          <w:szCs w:val="24"/>
        </w:rPr>
        <w:t>B and C, Microscopic images</w:t>
      </w:r>
      <w:r w:rsidRPr="0010385B">
        <w:rPr>
          <w:rFonts w:hint="eastAsia"/>
          <w:sz w:val="24"/>
          <w:szCs w:val="24"/>
        </w:rPr>
        <w:t xml:space="preserve">. </w:t>
      </w:r>
      <w:r w:rsidRPr="0010385B">
        <w:rPr>
          <w:sz w:val="24"/>
        </w:rPr>
        <w:t>Microscopic</w:t>
      </w:r>
      <w:r w:rsidRPr="0010385B">
        <w:rPr>
          <w:sz w:val="24"/>
          <w:szCs w:val="24"/>
        </w:rPr>
        <w:t xml:space="preserve"> images were recorded 6 days after cell seeding (1 </w:t>
      </w:r>
      <w:r w:rsidRPr="0010385B">
        <w:rPr>
          <w:rFonts w:cs="Times New Roman"/>
          <w:sz w:val="24"/>
          <w:szCs w:val="24"/>
        </w:rPr>
        <w:t xml:space="preserve">× </w:t>
      </w:r>
      <w:r w:rsidRPr="0010385B">
        <w:rPr>
          <w:sz w:val="24"/>
          <w:szCs w:val="24"/>
        </w:rPr>
        <w:t>10</w:t>
      </w:r>
      <w:r w:rsidRPr="0010385B">
        <w:rPr>
          <w:sz w:val="24"/>
          <w:szCs w:val="24"/>
          <w:vertAlign w:val="superscript"/>
        </w:rPr>
        <w:t>6</w:t>
      </w:r>
      <w:r w:rsidRPr="0010385B">
        <w:rPr>
          <w:sz w:val="24"/>
          <w:szCs w:val="24"/>
        </w:rPr>
        <w:t xml:space="preserve"> per flask). Scale bars, 100 </w:t>
      </w:r>
      <w:r w:rsidRPr="0010385B">
        <w:rPr>
          <w:rFonts w:cs="Times New Roman"/>
          <w:sz w:val="24"/>
          <w:szCs w:val="24"/>
        </w:rPr>
        <w:t>μ</w:t>
      </w:r>
      <w:r w:rsidRPr="0010385B">
        <w:rPr>
          <w:sz w:val="24"/>
          <w:szCs w:val="24"/>
        </w:rPr>
        <w:t>m.</w:t>
      </w:r>
    </w:p>
    <w:p w:rsidR="00875F26" w:rsidRPr="0010385B" w:rsidRDefault="00875F26" w:rsidP="00875F26">
      <w:pPr>
        <w:widowControl w:val="0"/>
        <w:kinsoku w:val="0"/>
        <w:overflowPunct w:val="0"/>
        <w:autoSpaceDE w:val="0"/>
        <w:autoSpaceDN w:val="0"/>
        <w:spacing w:line="480" w:lineRule="auto"/>
        <w:contextualSpacing/>
        <w:rPr>
          <w:b/>
          <w:sz w:val="24"/>
          <w:szCs w:val="24"/>
        </w:rPr>
      </w:pPr>
    </w:p>
    <w:p w:rsidR="00875F26" w:rsidRPr="0010385B" w:rsidRDefault="00875F26" w:rsidP="00875F26">
      <w:pPr>
        <w:widowControl w:val="0"/>
        <w:kinsoku w:val="0"/>
        <w:overflowPunct w:val="0"/>
        <w:autoSpaceDE w:val="0"/>
        <w:autoSpaceDN w:val="0"/>
        <w:spacing w:line="480" w:lineRule="auto"/>
        <w:contextualSpacing/>
        <w:rPr>
          <w:b/>
          <w:sz w:val="24"/>
          <w:szCs w:val="24"/>
        </w:rPr>
      </w:pPr>
      <w:r w:rsidRPr="0010385B">
        <w:rPr>
          <w:b/>
          <w:sz w:val="24"/>
          <w:szCs w:val="24"/>
        </w:rPr>
        <w:t xml:space="preserve">Supplementary Figure 2 </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b/>
          <w:sz w:val="24"/>
          <w:szCs w:val="24"/>
        </w:rPr>
        <w:t>Identification by STR analysis</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sz w:val="24"/>
          <w:szCs w:val="24"/>
        </w:rPr>
        <w:t>A, H2228 and H2228/CHR. B, ABC-11 and ABC-11/CHR.</w:t>
      </w:r>
    </w:p>
    <w:p w:rsidR="00875F26" w:rsidRPr="0010385B" w:rsidRDefault="00875F26" w:rsidP="00875F26">
      <w:pPr>
        <w:widowControl w:val="0"/>
        <w:kinsoku w:val="0"/>
        <w:overflowPunct w:val="0"/>
        <w:autoSpaceDE w:val="0"/>
        <w:autoSpaceDN w:val="0"/>
        <w:spacing w:line="480" w:lineRule="auto"/>
        <w:contextualSpacing/>
        <w:rPr>
          <w:b/>
          <w:sz w:val="24"/>
          <w:szCs w:val="24"/>
        </w:rPr>
      </w:pP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b/>
          <w:sz w:val="24"/>
          <w:szCs w:val="24"/>
        </w:rPr>
        <w:t>Supplementary Figure 3</w:t>
      </w:r>
      <w:r w:rsidRPr="0010385B">
        <w:rPr>
          <w:sz w:val="24"/>
          <w:szCs w:val="24"/>
        </w:rPr>
        <w:t xml:space="preserve"> </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b/>
          <w:sz w:val="24"/>
          <w:szCs w:val="24"/>
        </w:rPr>
        <w:t>Characteristics of the H2228 and H2228/CHR clones</w:t>
      </w:r>
      <w:r w:rsidRPr="0010385B">
        <w:rPr>
          <w:sz w:val="24"/>
          <w:szCs w:val="24"/>
        </w:rPr>
        <w:t xml:space="preserve"> </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sz w:val="24"/>
          <w:szCs w:val="24"/>
        </w:rPr>
        <w:t xml:space="preserve">A, Alectinib and crizotinib sensitivity assays performed on the H2228 and H2228/CHR </w:t>
      </w:r>
      <w:r w:rsidRPr="0010385B">
        <w:rPr>
          <w:sz w:val="24"/>
          <w:szCs w:val="24"/>
        </w:rPr>
        <w:lastRenderedPageBreak/>
        <w:t>clones. Cells were seeded and treated with various concentrations of alectinib or crizotinib. Viable cells were assessed by MTT assay. Anti-proliferative effects are shown as IC</w:t>
      </w:r>
      <w:r w:rsidRPr="0010385B">
        <w:rPr>
          <w:sz w:val="24"/>
          <w:szCs w:val="24"/>
          <w:vertAlign w:val="subscript"/>
        </w:rPr>
        <w:t>50</w:t>
      </w:r>
      <w:r w:rsidRPr="0010385B">
        <w:rPr>
          <w:sz w:val="24"/>
          <w:szCs w:val="24"/>
        </w:rPr>
        <w:t xml:space="preserve"> values. Data are mean </w:t>
      </w:r>
      <w:r w:rsidRPr="0010385B">
        <w:rPr>
          <w:rFonts w:cs="Times New Roman"/>
          <w:sz w:val="24"/>
          <w:szCs w:val="24"/>
        </w:rPr>
        <w:t>± SE</w:t>
      </w:r>
      <w:r w:rsidRPr="0010385B">
        <w:rPr>
          <w:sz w:val="24"/>
          <w:szCs w:val="24"/>
        </w:rPr>
        <w:t xml:space="preserve"> values from three independent experiments. B, Effects of alectinib on phosphorylated ALK levels and downstream signaling in H2228/CHR clones.</w:t>
      </w:r>
      <w:r w:rsidRPr="0010385B" w:rsidDel="0018398C">
        <w:rPr>
          <w:sz w:val="24"/>
          <w:szCs w:val="24"/>
        </w:rPr>
        <w:t xml:space="preserve"> </w:t>
      </w:r>
      <w:r w:rsidRPr="0010385B">
        <w:rPr>
          <w:sz w:val="24"/>
          <w:szCs w:val="24"/>
        </w:rPr>
        <w:t xml:space="preserve">Cells were incubated with alectinib (0 or 1 </w:t>
      </w:r>
      <w:r w:rsidRPr="0010385B">
        <w:rPr>
          <w:rFonts w:cs="Times New Roman"/>
          <w:sz w:val="24"/>
          <w:szCs w:val="24"/>
        </w:rPr>
        <w:t>μ</w:t>
      </w:r>
      <w:r w:rsidRPr="0010385B">
        <w:rPr>
          <w:sz w:val="24"/>
          <w:szCs w:val="24"/>
        </w:rPr>
        <w:t xml:space="preserve">M) for 4 h. Lysates were analyzed by Western blotting. </w:t>
      </w:r>
    </w:p>
    <w:p w:rsidR="00875F26" w:rsidRPr="0010385B" w:rsidRDefault="00875F26" w:rsidP="00875F26">
      <w:pPr>
        <w:widowControl w:val="0"/>
        <w:kinsoku w:val="0"/>
        <w:overflowPunct w:val="0"/>
        <w:autoSpaceDE w:val="0"/>
        <w:autoSpaceDN w:val="0"/>
        <w:spacing w:line="480" w:lineRule="auto"/>
        <w:contextualSpacing/>
        <w:rPr>
          <w:sz w:val="24"/>
          <w:szCs w:val="24"/>
        </w:rPr>
      </w:pPr>
    </w:p>
    <w:p w:rsidR="00875F26" w:rsidRPr="0010385B" w:rsidRDefault="00875F26" w:rsidP="00875F26">
      <w:pPr>
        <w:widowControl w:val="0"/>
        <w:kinsoku w:val="0"/>
        <w:overflowPunct w:val="0"/>
        <w:autoSpaceDE w:val="0"/>
        <w:autoSpaceDN w:val="0"/>
        <w:spacing w:line="480" w:lineRule="auto"/>
        <w:contextualSpacing/>
        <w:rPr>
          <w:b/>
          <w:sz w:val="24"/>
          <w:szCs w:val="24"/>
        </w:rPr>
      </w:pPr>
      <w:r w:rsidRPr="0010385B">
        <w:rPr>
          <w:b/>
          <w:sz w:val="24"/>
          <w:szCs w:val="24"/>
        </w:rPr>
        <w:t>Supplementary Figure 4</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b/>
          <w:sz w:val="24"/>
          <w:szCs w:val="24"/>
        </w:rPr>
        <w:t>Characteristics of the ABC-11/CHR and ABC-11/CHR clones</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sz w:val="24"/>
          <w:szCs w:val="24"/>
        </w:rPr>
        <w:t>A, Alectinib and crizotinib sensitivity assays performed on the ABC-11 and ABC-11/CHR clones. Cells were seeded and treated with various concentrations of alectinib or crizotinib. Viable cells were assessed by MTT assay. Anti-proliferative effects are shown as IC</w:t>
      </w:r>
      <w:r w:rsidRPr="0010385B">
        <w:rPr>
          <w:sz w:val="24"/>
          <w:szCs w:val="24"/>
          <w:vertAlign w:val="subscript"/>
        </w:rPr>
        <w:t>50</w:t>
      </w:r>
      <w:r w:rsidRPr="0010385B">
        <w:rPr>
          <w:sz w:val="24"/>
          <w:szCs w:val="24"/>
        </w:rPr>
        <w:t xml:space="preserve"> values. Data are mean </w:t>
      </w:r>
      <w:r w:rsidRPr="0010385B">
        <w:rPr>
          <w:rFonts w:cs="Times New Roman"/>
          <w:sz w:val="24"/>
          <w:szCs w:val="24"/>
        </w:rPr>
        <w:t>± SE</w:t>
      </w:r>
      <w:r w:rsidRPr="0010385B">
        <w:rPr>
          <w:sz w:val="24"/>
          <w:szCs w:val="24"/>
        </w:rPr>
        <w:t xml:space="preserve"> values from three independent experiments. B, Effects of alectinib on phosphorylated ALK levels and downstream signaling in the ABC-11/CHR clone. Cells were incubated with alectinib (0 or 1 </w:t>
      </w:r>
      <w:r w:rsidRPr="0010385B">
        <w:rPr>
          <w:rFonts w:cs="Times New Roman"/>
          <w:sz w:val="24"/>
          <w:szCs w:val="24"/>
        </w:rPr>
        <w:t>μ</w:t>
      </w:r>
      <w:r w:rsidRPr="0010385B">
        <w:rPr>
          <w:sz w:val="24"/>
          <w:szCs w:val="24"/>
        </w:rPr>
        <w:t>M) for 4 h. Lysates were analyzed by Western blotting.</w:t>
      </w:r>
    </w:p>
    <w:p w:rsidR="00875F26" w:rsidRPr="0010385B" w:rsidRDefault="00875F26" w:rsidP="00875F26">
      <w:pPr>
        <w:widowControl w:val="0"/>
        <w:kinsoku w:val="0"/>
        <w:overflowPunct w:val="0"/>
        <w:autoSpaceDE w:val="0"/>
        <w:autoSpaceDN w:val="0"/>
        <w:spacing w:line="480" w:lineRule="auto"/>
        <w:contextualSpacing/>
        <w:rPr>
          <w:sz w:val="24"/>
          <w:szCs w:val="24"/>
        </w:rPr>
      </w:pPr>
    </w:p>
    <w:p w:rsidR="00875F26" w:rsidRPr="0010385B" w:rsidRDefault="00875F26" w:rsidP="00875F26">
      <w:pPr>
        <w:widowControl w:val="0"/>
        <w:kinsoku w:val="0"/>
        <w:overflowPunct w:val="0"/>
        <w:autoSpaceDE w:val="0"/>
        <w:autoSpaceDN w:val="0"/>
        <w:spacing w:line="480" w:lineRule="auto"/>
        <w:contextualSpacing/>
        <w:rPr>
          <w:b/>
          <w:sz w:val="24"/>
          <w:szCs w:val="24"/>
        </w:rPr>
      </w:pPr>
      <w:r w:rsidRPr="0010385B">
        <w:rPr>
          <w:b/>
          <w:sz w:val="24"/>
          <w:szCs w:val="24"/>
        </w:rPr>
        <w:t>Supplementary Figure 5</w:t>
      </w:r>
    </w:p>
    <w:p w:rsidR="00875F26" w:rsidRPr="0010385B" w:rsidRDefault="00875F26" w:rsidP="00875F26">
      <w:pPr>
        <w:spacing w:line="360" w:lineRule="auto"/>
        <w:rPr>
          <w:b/>
          <w:color w:val="auto"/>
          <w:sz w:val="24"/>
          <w:szCs w:val="24"/>
        </w:rPr>
      </w:pPr>
      <w:r w:rsidRPr="0010385B">
        <w:rPr>
          <w:b/>
          <w:i/>
          <w:color w:val="auto"/>
          <w:sz w:val="24"/>
          <w:szCs w:val="24"/>
        </w:rPr>
        <w:lastRenderedPageBreak/>
        <w:t>ALK</w:t>
      </w:r>
      <w:r w:rsidRPr="0010385B">
        <w:rPr>
          <w:b/>
          <w:color w:val="auto"/>
          <w:sz w:val="24"/>
          <w:szCs w:val="24"/>
        </w:rPr>
        <w:t xml:space="preserve"> kinase domain sequencing</w:t>
      </w:r>
    </w:p>
    <w:p w:rsidR="00875F26" w:rsidRPr="0010385B" w:rsidRDefault="00875F26" w:rsidP="00875F26">
      <w:pPr>
        <w:spacing w:line="360" w:lineRule="auto"/>
        <w:rPr>
          <w:sz w:val="24"/>
          <w:szCs w:val="24"/>
        </w:rPr>
      </w:pPr>
      <w:r w:rsidRPr="0010385B">
        <w:rPr>
          <w:sz w:val="24"/>
          <w:szCs w:val="24"/>
        </w:rPr>
        <w:t>(A) ABC-11, (B) ABC-11/CHR1, (C) ABC-11/CHR2, (D) ABC-11/CHR3</w:t>
      </w:r>
    </w:p>
    <w:p w:rsidR="00875F26" w:rsidRPr="0010385B" w:rsidRDefault="00875F26" w:rsidP="00875F26">
      <w:pPr>
        <w:widowControl w:val="0"/>
        <w:kinsoku w:val="0"/>
        <w:overflowPunct w:val="0"/>
        <w:autoSpaceDE w:val="0"/>
        <w:autoSpaceDN w:val="0"/>
        <w:spacing w:line="480" w:lineRule="auto"/>
        <w:contextualSpacing/>
        <w:rPr>
          <w:b/>
          <w:sz w:val="24"/>
          <w:szCs w:val="24"/>
        </w:rPr>
      </w:pPr>
    </w:p>
    <w:p w:rsidR="00875F26" w:rsidRPr="0010385B" w:rsidRDefault="00875F26" w:rsidP="00875F26">
      <w:pPr>
        <w:widowControl w:val="0"/>
        <w:kinsoku w:val="0"/>
        <w:overflowPunct w:val="0"/>
        <w:autoSpaceDE w:val="0"/>
        <w:autoSpaceDN w:val="0"/>
        <w:spacing w:line="480" w:lineRule="auto"/>
        <w:contextualSpacing/>
        <w:rPr>
          <w:b/>
          <w:sz w:val="24"/>
          <w:szCs w:val="24"/>
        </w:rPr>
      </w:pPr>
      <w:r w:rsidRPr="0010385B">
        <w:rPr>
          <w:b/>
          <w:sz w:val="24"/>
          <w:szCs w:val="24"/>
        </w:rPr>
        <w:t>Supplementary Figure 6</w:t>
      </w:r>
    </w:p>
    <w:p w:rsidR="00875F26" w:rsidRPr="0010385B" w:rsidRDefault="00875F26" w:rsidP="00875F26">
      <w:pPr>
        <w:widowControl w:val="0"/>
        <w:kinsoku w:val="0"/>
        <w:overflowPunct w:val="0"/>
        <w:autoSpaceDE w:val="0"/>
        <w:autoSpaceDN w:val="0"/>
        <w:spacing w:line="480" w:lineRule="auto"/>
        <w:contextualSpacing/>
        <w:rPr>
          <w:b/>
          <w:color w:val="auto"/>
          <w:sz w:val="24"/>
          <w:szCs w:val="24"/>
        </w:rPr>
      </w:pPr>
      <w:r w:rsidRPr="0010385B">
        <w:rPr>
          <w:b/>
          <w:color w:val="auto"/>
          <w:sz w:val="24"/>
          <w:szCs w:val="24"/>
        </w:rPr>
        <w:t xml:space="preserve">External HGF and conditioned medium leads to alectinib resistance in the </w:t>
      </w:r>
      <w:r w:rsidRPr="0010385B">
        <w:rPr>
          <w:b/>
          <w:i/>
          <w:color w:val="auto"/>
          <w:sz w:val="24"/>
          <w:szCs w:val="24"/>
        </w:rPr>
        <w:t>EML4-ALK</w:t>
      </w:r>
      <w:r w:rsidRPr="0010385B">
        <w:rPr>
          <w:b/>
          <w:color w:val="auto"/>
          <w:sz w:val="24"/>
          <w:szCs w:val="24"/>
        </w:rPr>
        <w:t xml:space="preserve">-positive cell line. </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color w:val="auto"/>
          <w:sz w:val="24"/>
          <w:szCs w:val="24"/>
        </w:rPr>
        <w:t>A, ABC-11 cells (</w:t>
      </w:r>
      <w:r w:rsidRPr="0010385B">
        <w:rPr>
          <w:sz w:val="24"/>
          <w:szCs w:val="24"/>
        </w:rPr>
        <w:t xml:space="preserve">2 </w:t>
      </w:r>
      <w:r w:rsidRPr="0010385B">
        <w:rPr>
          <w:rFonts w:cs="Times New Roman"/>
          <w:sz w:val="24"/>
          <w:szCs w:val="24"/>
        </w:rPr>
        <w:t xml:space="preserve">× </w:t>
      </w:r>
      <w:r w:rsidRPr="0010385B">
        <w:rPr>
          <w:sz w:val="24"/>
          <w:szCs w:val="24"/>
        </w:rPr>
        <w:t>10</w:t>
      </w:r>
      <w:r w:rsidRPr="0010385B">
        <w:rPr>
          <w:sz w:val="24"/>
          <w:szCs w:val="24"/>
          <w:vertAlign w:val="superscript"/>
        </w:rPr>
        <w:t>5</w:t>
      </w:r>
      <w:r w:rsidRPr="0010385B">
        <w:rPr>
          <w:color w:val="auto"/>
          <w:sz w:val="24"/>
          <w:szCs w:val="24"/>
        </w:rPr>
        <w:t xml:space="preserve">/well) were seeded on </w:t>
      </w:r>
      <w:r w:rsidRPr="0010385B">
        <w:rPr>
          <w:color w:val="auto"/>
          <w:sz w:val="24"/>
        </w:rPr>
        <w:t>6-well</w:t>
      </w:r>
      <w:r w:rsidRPr="0010385B">
        <w:rPr>
          <w:color w:val="auto"/>
          <w:sz w:val="24"/>
          <w:szCs w:val="24"/>
        </w:rPr>
        <w:t xml:space="preserve"> plates and cultured for 24 h. Thereafter, the culture medium was replaced with fresh medium, conditioned medium, or fresh medium containing 50 ng/mL HGF and cultured with 0 or 0.1 </w:t>
      </w:r>
      <w:r w:rsidRPr="0010385B">
        <w:rPr>
          <w:rFonts w:ascii="Symbol" w:hAnsi="Symbol"/>
          <w:color w:val="auto"/>
          <w:sz w:val="24"/>
          <w:szCs w:val="24"/>
        </w:rPr>
        <w:t></w:t>
      </w:r>
      <w:r w:rsidRPr="0010385B">
        <w:rPr>
          <w:color w:val="auto"/>
          <w:sz w:val="24"/>
          <w:szCs w:val="24"/>
        </w:rPr>
        <w:t xml:space="preserve">M alectinib for 72 h. Viable cells were </w:t>
      </w:r>
      <w:r w:rsidRPr="0010385B">
        <w:rPr>
          <w:sz w:val="24"/>
          <w:szCs w:val="24"/>
        </w:rPr>
        <w:t>trypsinized</w:t>
      </w:r>
      <w:r w:rsidRPr="0010385B">
        <w:rPr>
          <w:color w:val="auto"/>
          <w:sz w:val="24"/>
          <w:szCs w:val="24"/>
        </w:rPr>
        <w:t xml:space="preserve"> and counted. B, H2228 cells (</w:t>
      </w:r>
      <w:r w:rsidRPr="0010385B">
        <w:rPr>
          <w:sz w:val="24"/>
          <w:szCs w:val="24"/>
        </w:rPr>
        <w:t xml:space="preserve">2 </w:t>
      </w:r>
      <w:r w:rsidRPr="0010385B">
        <w:rPr>
          <w:rFonts w:cs="Times New Roman"/>
          <w:sz w:val="24"/>
          <w:szCs w:val="24"/>
        </w:rPr>
        <w:t xml:space="preserve">× </w:t>
      </w:r>
      <w:r w:rsidRPr="0010385B">
        <w:rPr>
          <w:sz w:val="24"/>
          <w:szCs w:val="24"/>
        </w:rPr>
        <w:t>10</w:t>
      </w:r>
      <w:r w:rsidRPr="0010385B">
        <w:rPr>
          <w:sz w:val="24"/>
          <w:szCs w:val="24"/>
          <w:vertAlign w:val="superscript"/>
        </w:rPr>
        <w:t>5</w:t>
      </w:r>
      <w:r w:rsidRPr="0010385B">
        <w:rPr>
          <w:color w:val="auto"/>
          <w:sz w:val="24"/>
          <w:szCs w:val="24"/>
        </w:rPr>
        <w:t xml:space="preserve">/well) were tested in the same manner as the </w:t>
      </w:r>
      <w:r w:rsidRPr="0010385B">
        <w:rPr>
          <w:color w:val="auto"/>
          <w:sz w:val="24"/>
        </w:rPr>
        <w:t xml:space="preserve">ABC-11 cells. </w:t>
      </w:r>
      <w:r w:rsidRPr="0010385B">
        <w:rPr>
          <w:sz w:val="24"/>
        </w:rPr>
        <w:t>Data are</w:t>
      </w:r>
      <w:r w:rsidRPr="0010385B">
        <w:rPr>
          <w:sz w:val="24"/>
          <w:szCs w:val="24"/>
        </w:rPr>
        <w:t xml:space="preserve"> expressed as the percentage of the control (without alectinib) and are </w:t>
      </w:r>
      <w:r w:rsidRPr="0010385B">
        <w:rPr>
          <w:rFonts w:hint="eastAsia"/>
          <w:sz w:val="24"/>
          <w:szCs w:val="24"/>
        </w:rPr>
        <w:t>represented</w:t>
      </w:r>
      <w:r w:rsidRPr="0010385B">
        <w:rPr>
          <w:sz w:val="24"/>
          <w:szCs w:val="24"/>
        </w:rPr>
        <w:t xml:space="preserve"> as mean </w:t>
      </w:r>
      <w:r w:rsidRPr="0010385B">
        <w:rPr>
          <w:rFonts w:cs="Times New Roman"/>
          <w:color w:val="auto"/>
          <w:sz w:val="22"/>
          <w:szCs w:val="22"/>
        </w:rPr>
        <w:t>±</w:t>
      </w:r>
      <w:r w:rsidRPr="0010385B">
        <w:rPr>
          <w:color w:val="auto"/>
          <w:sz w:val="22"/>
        </w:rPr>
        <w:t xml:space="preserve"> </w:t>
      </w:r>
      <w:r w:rsidRPr="0010385B">
        <w:rPr>
          <w:sz w:val="24"/>
          <w:szCs w:val="24"/>
        </w:rPr>
        <w:t>SE values from three independent experiments.</w:t>
      </w:r>
    </w:p>
    <w:p w:rsidR="00875F26" w:rsidRPr="0010385B" w:rsidRDefault="00875F26" w:rsidP="00875F26">
      <w:pPr>
        <w:widowControl w:val="0"/>
        <w:kinsoku w:val="0"/>
        <w:overflowPunct w:val="0"/>
        <w:autoSpaceDE w:val="0"/>
        <w:autoSpaceDN w:val="0"/>
        <w:spacing w:line="480" w:lineRule="auto"/>
        <w:contextualSpacing/>
        <w:rPr>
          <w:b/>
          <w:sz w:val="24"/>
          <w:szCs w:val="24"/>
        </w:rPr>
      </w:pPr>
    </w:p>
    <w:p w:rsidR="00875F26" w:rsidRPr="0010385B" w:rsidRDefault="00875F26" w:rsidP="00875F26">
      <w:pPr>
        <w:widowControl w:val="0"/>
        <w:kinsoku w:val="0"/>
        <w:overflowPunct w:val="0"/>
        <w:autoSpaceDE w:val="0"/>
        <w:autoSpaceDN w:val="0"/>
        <w:spacing w:line="480" w:lineRule="auto"/>
        <w:contextualSpacing/>
        <w:rPr>
          <w:b/>
          <w:sz w:val="24"/>
          <w:szCs w:val="24"/>
        </w:rPr>
      </w:pPr>
      <w:r w:rsidRPr="0010385B">
        <w:rPr>
          <w:b/>
          <w:sz w:val="24"/>
          <w:szCs w:val="24"/>
        </w:rPr>
        <w:t>Supplementary Figure 7</w:t>
      </w:r>
    </w:p>
    <w:p w:rsidR="00875F26" w:rsidRPr="0010385B" w:rsidRDefault="00875F26" w:rsidP="00875F26">
      <w:pPr>
        <w:widowControl w:val="0"/>
        <w:kinsoku w:val="0"/>
        <w:overflowPunct w:val="0"/>
        <w:autoSpaceDE w:val="0"/>
        <w:autoSpaceDN w:val="0"/>
        <w:spacing w:line="480" w:lineRule="auto"/>
        <w:contextualSpacing/>
        <w:rPr>
          <w:b/>
          <w:sz w:val="24"/>
          <w:szCs w:val="24"/>
        </w:rPr>
      </w:pPr>
      <w:r w:rsidRPr="0010385B">
        <w:rPr>
          <w:b/>
          <w:sz w:val="24"/>
          <w:szCs w:val="24"/>
        </w:rPr>
        <w:t>Characteristics of ABC-11/CHR-r</w:t>
      </w:r>
    </w:p>
    <w:p w:rsidR="00875F26" w:rsidRPr="0010385B" w:rsidRDefault="00875F26" w:rsidP="00875F26">
      <w:pPr>
        <w:widowControl w:val="0"/>
        <w:kinsoku w:val="0"/>
        <w:overflowPunct w:val="0"/>
        <w:autoSpaceDE w:val="0"/>
        <w:autoSpaceDN w:val="0"/>
        <w:spacing w:line="480" w:lineRule="auto"/>
        <w:contextualSpacing/>
        <w:rPr>
          <w:sz w:val="24"/>
          <w:szCs w:val="24"/>
        </w:rPr>
      </w:pPr>
      <w:r w:rsidRPr="0010385B">
        <w:rPr>
          <w:sz w:val="24"/>
          <w:szCs w:val="24"/>
        </w:rPr>
        <w:t xml:space="preserve">A, HGF concentrations in the culture medium. Cells (ABC-11 and ABC-11/CHR-r clones) (1 </w:t>
      </w:r>
      <w:r w:rsidRPr="0010385B">
        <w:rPr>
          <w:rFonts w:cs="Times New Roman"/>
          <w:sz w:val="24"/>
          <w:szCs w:val="24"/>
        </w:rPr>
        <w:t xml:space="preserve">× </w:t>
      </w:r>
      <w:r w:rsidRPr="0010385B">
        <w:rPr>
          <w:sz w:val="24"/>
          <w:szCs w:val="24"/>
        </w:rPr>
        <w:t>10</w:t>
      </w:r>
      <w:r w:rsidRPr="0010385B">
        <w:rPr>
          <w:sz w:val="24"/>
          <w:szCs w:val="24"/>
          <w:vertAlign w:val="superscript"/>
        </w:rPr>
        <w:t>5</w:t>
      </w:r>
      <w:r w:rsidRPr="0010385B">
        <w:rPr>
          <w:sz w:val="24"/>
          <w:szCs w:val="24"/>
        </w:rPr>
        <w:t>/well)</w:t>
      </w:r>
      <w:r w:rsidRPr="0010385B">
        <w:rPr>
          <w:sz w:val="24"/>
          <w:szCs w:val="24"/>
          <w:vertAlign w:val="superscript"/>
        </w:rPr>
        <w:t xml:space="preserve"> </w:t>
      </w:r>
      <w:r w:rsidRPr="0010385B">
        <w:rPr>
          <w:sz w:val="24"/>
          <w:szCs w:val="24"/>
        </w:rPr>
        <w:t xml:space="preserve">were seeded in </w:t>
      </w:r>
      <w:r w:rsidRPr="0010385B">
        <w:rPr>
          <w:sz w:val="24"/>
        </w:rPr>
        <w:t>6-well</w:t>
      </w:r>
      <w:r w:rsidRPr="0010385B">
        <w:rPr>
          <w:sz w:val="24"/>
          <w:szCs w:val="24"/>
        </w:rPr>
        <w:t xml:space="preserve"> plates and incubated for 48 h in 2 mL culture medium. The culture supernatants were cleared by centrifugation, and the </w:t>
      </w:r>
      <w:r w:rsidRPr="0010385B">
        <w:rPr>
          <w:sz w:val="24"/>
          <w:szCs w:val="24"/>
        </w:rPr>
        <w:lastRenderedPageBreak/>
        <w:t xml:space="preserve">supernatants from viable cells were assessed by ELISA. Data </w:t>
      </w:r>
      <w:r w:rsidRPr="0010385B">
        <w:rPr>
          <w:rFonts w:hint="eastAsia"/>
          <w:sz w:val="24"/>
          <w:szCs w:val="24"/>
        </w:rPr>
        <w:t>represent</w:t>
      </w:r>
      <w:r w:rsidRPr="0010385B">
        <w:rPr>
          <w:sz w:val="24"/>
          <w:szCs w:val="24"/>
        </w:rPr>
        <w:t xml:space="preserve"> the mean </w:t>
      </w:r>
      <w:r w:rsidRPr="0010385B">
        <w:rPr>
          <w:rFonts w:cs="Times New Roman"/>
          <w:sz w:val="24"/>
          <w:szCs w:val="24"/>
        </w:rPr>
        <w:t>± SE</w:t>
      </w:r>
      <w:r w:rsidRPr="0010385B">
        <w:rPr>
          <w:sz w:val="24"/>
          <w:szCs w:val="24"/>
        </w:rPr>
        <w:t xml:space="preserve"> values from three independent experiments. The values for resistant cells were compared with those for parental cells by using the two-tailed paired Student’s </w:t>
      </w:r>
      <w:r w:rsidRPr="0010385B">
        <w:rPr>
          <w:i/>
          <w:sz w:val="24"/>
          <w:szCs w:val="24"/>
        </w:rPr>
        <w:t>t-</w:t>
      </w:r>
      <w:r w:rsidRPr="0010385B">
        <w:rPr>
          <w:sz w:val="24"/>
          <w:szCs w:val="24"/>
        </w:rPr>
        <w:t>test (***</w:t>
      </w:r>
      <w:r w:rsidRPr="0010385B">
        <w:rPr>
          <w:i/>
          <w:sz w:val="24"/>
          <w:szCs w:val="24"/>
        </w:rPr>
        <w:t>P</w:t>
      </w:r>
      <w:r w:rsidRPr="0010385B">
        <w:rPr>
          <w:sz w:val="24"/>
          <w:szCs w:val="24"/>
        </w:rPr>
        <w:t xml:space="preserve"> &lt; 0.001). B, Alectinib and crizotinib sensitivity assays. Cells were seeded in 96-well plates and treated with various concentrations of alectinib or crizotinib. Viable cells were assessed by MTT assay. Anti-proliferative effects are shown as the IC</w:t>
      </w:r>
      <w:r w:rsidRPr="0010385B">
        <w:rPr>
          <w:sz w:val="24"/>
          <w:szCs w:val="24"/>
          <w:vertAlign w:val="subscript"/>
        </w:rPr>
        <w:t>50</w:t>
      </w:r>
      <w:r w:rsidRPr="0010385B">
        <w:rPr>
          <w:sz w:val="24"/>
          <w:szCs w:val="24"/>
        </w:rPr>
        <w:t xml:space="preserve">. Data are mean </w:t>
      </w:r>
      <w:r w:rsidRPr="0010385B">
        <w:rPr>
          <w:rFonts w:cs="Times New Roman"/>
          <w:sz w:val="24"/>
          <w:szCs w:val="24"/>
        </w:rPr>
        <w:t>± SE</w:t>
      </w:r>
      <w:r w:rsidRPr="0010385B">
        <w:rPr>
          <w:sz w:val="24"/>
          <w:szCs w:val="24"/>
        </w:rPr>
        <w:t xml:space="preserve"> from three independent experiments.</w:t>
      </w:r>
    </w:p>
    <w:p w:rsidR="00875F26" w:rsidRPr="0010385B" w:rsidRDefault="00875F26" w:rsidP="00875F26">
      <w:pPr>
        <w:widowControl w:val="0"/>
        <w:kinsoku w:val="0"/>
        <w:overflowPunct w:val="0"/>
        <w:autoSpaceDE w:val="0"/>
        <w:autoSpaceDN w:val="0"/>
        <w:spacing w:line="480" w:lineRule="auto"/>
        <w:contextualSpacing/>
        <w:rPr>
          <w:b/>
          <w:sz w:val="24"/>
          <w:szCs w:val="24"/>
        </w:rPr>
      </w:pPr>
    </w:p>
    <w:p w:rsidR="00875F26" w:rsidRPr="0010385B" w:rsidRDefault="00875F26" w:rsidP="00875F26">
      <w:pPr>
        <w:widowControl w:val="0"/>
        <w:kinsoku w:val="0"/>
        <w:overflowPunct w:val="0"/>
        <w:autoSpaceDE w:val="0"/>
        <w:autoSpaceDN w:val="0"/>
        <w:spacing w:line="480" w:lineRule="auto"/>
        <w:contextualSpacing/>
        <w:rPr>
          <w:b/>
          <w:sz w:val="24"/>
          <w:szCs w:val="24"/>
        </w:rPr>
      </w:pPr>
      <w:r w:rsidRPr="0010385B">
        <w:rPr>
          <w:b/>
          <w:sz w:val="24"/>
          <w:szCs w:val="24"/>
        </w:rPr>
        <w:t>Supplementary Figure 8</w:t>
      </w:r>
    </w:p>
    <w:p w:rsidR="00875F26" w:rsidRPr="0010385B" w:rsidRDefault="00875F26" w:rsidP="00875F26">
      <w:pPr>
        <w:widowControl w:val="0"/>
        <w:kinsoku w:val="0"/>
        <w:overflowPunct w:val="0"/>
        <w:autoSpaceDE w:val="0"/>
        <w:autoSpaceDN w:val="0"/>
        <w:spacing w:line="480" w:lineRule="auto"/>
        <w:contextualSpacing/>
        <w:rPr>
          <w:b/>
          <w:sz w:val="24"/>
          <w:szCs w:val="24"/>
        </w:rPr>
      </w:pPr>
      <w:r w:rsidRPr="0010385B">
        <w:rPr>
          <w:b/>
          <w:sz w:val="24"/>
          <w:szCs w:val="24"/>
        </w:rPr>
        <w:t>Long-term effects of crizotinib on tumor growth in xenograft models</w:t>
      </w:r>
    </w:p>
    <w:p w:rsidR="00875F26" w:rsidRDefault="00875F26" w:rsidP="00F87513">
      <w:pPr>
        <w:widowControl w:val="0"/>
        <w:kinsoku w:val="0"/>
        <w:overflowPunct w:val="0"/>
        <w:autoSpaceDE w:val="0"/>
        <w:autoSpaceDN w:val="0"/>
        <w:spacing w:line="480" w:lineRule="auto"/>
        <w:contextualSpacing/>
        <w:rPr>
          <w:sz w:val="24"/>
          <w:szCs w:val="24"/>
        </w:rPr>
      </w:pPr>
      <w:r w:rsidRPr="0010385B">
        <w:rPr>
          <w:sz w:val="24"/>
          <w:szCs w:val="24"/>
        </w:rPr>
        <w:t xml:space="preserve">The ABC-11/CHR tumors were treated with 50 mg/kg/day crizotinib for 53 days. The vehicle group was treated for 32 days. Tumor volume </w:t>
      </w:r>
      <w:r w:rsidRPr="0010385B">
        <w:rPr>
          <w:rFonts w:hint="eastAsia"/>
          <w:sz w:val="24"/>
          <w:szCs w:val="24"/>
        </w:rPr>
        <w:t>are</w:t>
      </w:r>
      <w:r w:rsidRPr="0010385B">
        <w:rPr>
          <w:sz w:val="24"/>
          <w:szCs w:val="24"/>
        </w:rPr>
        <w:t xml:space="preserve"> presented as mean </w:t>
      </w:r>
      <w:r w:rsidRPr="0010385B">
        <w:rPr>
          <w:rFonts w:hint="eastAsia"/>
          <w:sz w:val="24"/>
          <w:szCs w:val="24"/>
          <w:u w:val="single"/>
        </w:rPr>
        <w:t>+</w:t>
      </w:r>
      <w:r w:rsidRPr="0010385B">
        <w:rPr>
          <w:sz w:val="24"/>
          <w:szCs w:val="24"/>
        </w:rPr>
        <w:t xml:space="preserve"> SE. </w:t>
      </w:r>
      <w:bookmarkStart w:id="0" w:name="_GoBack"/>
      <w:bookmarkEnd w:id="0"/>
    </w:p>
    <w:p w:rsidR="00F87513" w:rsidRPr="00D7174F" w:rsidRDefault="00F87513" w:rsidP="00875F26">
      <w:pPr>
        <w:widowControl w:val="0"/>
        <w:kinsoku w:val="0"/>
        <w:overflowPunct w:val="0"/>
        <w:autoSpaceDE w:val="0"/>
        <w:autoSpaceDN w:val="0"/>
        <w:spacing w:line="480" w:lineRule="auto"/>
        <w:ind w:firstLineChars="354" w:firstLine="850"/>
        <w:contextualSpacing/>
        <w:rPr>
          <w:sz w:val="24"/>
          <w:szCs w:val="24"/>
        </w:rPr>
      </w:pPr>
    </w:p>
    <w:sectPr w:rsidR="00F87513" w:rsidRPr="00D717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F6" w:rsidRDefault="000C1AF6" w:rsidP="00BA364D">
      <w:pPr>
        <w:spacing w:line="240" w:lineRule="auto"/>
      </w:pPr>
      <w:r>
        <w:separator/>
      </w:r>
    </w:p>
  </w:endnote>
  <w:endnote w:type="continuationSeparator" w:id="0">
    <w:p w:rsidR="000C1AF6" w:rsidRDefault="000C1AF6" w:rsidP="00BA3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F6" w:rsidRDefault="000C1AF6" w:rsidP="00BA364D">
      <w:pPr>
        <w:spacing w:line="240" w:lineRule="auto"/>
      </w:pPr>
      <w:r>
        <w:separator/>
      </w:r>
    </w:p>
  </w:footnote>
  <w:footnote w:type="continuationSeparator" w:id="0">
    <w:p w:rsidR="000C1AF6" w:rsidRDefault="000C1AF6" w:rsidP="00BA36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13"/>
    <w:rsid w:val="000005BA"/>
    <w:rsid w:val="00003D97"/>
    <w:rsid w:val="0000613D"/>
    <w:rsid w:val="00010386"/>
    <w:rsid w:val="00016EBD"/>
    <w:rsid w:val="000215A6"/>
    <w:rsid w:val="00022D38"/>
    <w:rsid w:val="0002369C"/>
    <w:rsid w:val="00024A59"/>
    <w:rsid w:val="0002743A"/>
    <w:rsid w:val="00027D8E"/>
    <w:rsid w:val="00036470"/>
    <w:rsid w:val="00050100"/>
    <w:rsid w:val="0005346E"/>
    <w:rsid w:val="000536CD"/>
    <w:rsid w:val="00056602"/>
    <w:rsid w:val="00056F4F"/>
    <w:rsid w:val="00062AA8"/>
    <w:rsid w:val="00063BD1"/>
    <w:rsid w:val="00071A89"/>
    <w:rsid w:val="0008069D"/>
    <w:rsid w:val="00084DDB"/>
    <w:rsid w:val="00087BE2"/>
    <w:rsid w:val="0009055B"/>
    <w:rsid w:val="000907A4"/>
    <w:rsid w:val="00092077"/>
    <w:rsid w:val="00093A4D"/>
    <w:rsid w:val="00093DAD"/>
    <w:rsid w:val="0009567F"/>
    <w:rsid w:val="00096C1C"/>
    <w:rsid w:val="000A1575"/>
    <w:rsid w:val="000A3CAB"/>
    <w:rsid w:val="000A3EB6"/>
    <w:rsid w:val="000B246D"/>
    <w:rsid w:val="000B2A5C"/>
    <w:rsid w:val="000B5789"/>
    <w:rsid w:val="000B74B7"/>
    <w:rsid w:val="000C1AF6"/>
    <w:rsid w:val="000D0E8E"/>
    <w:rsid w:val="000D16DE"/>
    <w:rsid w:val="000D5EBD"/>
    <w:rsid w:val="000E0EA2"/>
    <w:rsid w:val="000E107C"/>
    <w:rsid w:val="000E78AA"/>
    <w:rsid w:val="000F075B"/>
    <w:rsid w:val="000F0F4F"/>
    <w:rsid w:val="000F4796"/>
    <w:rsid w:val="00100502"/>
    <w:rsid w:val="001018B8"/>
    <w:rsid w:val="0010385B"/>
    <w:rsid w:val="001056A7"/>
    <w:rsid w:val="00114A9A"/>
    <w:rsid w:val="001240A5"/>
    <w:rsid w:val="00127E13"/>
    <w:rsid w:val="00135F81"/>
    <w:rsid w:val="0014142B"/>
    <w:rsid w:val="001437E9"/>
    <w:rsid w:val="001454CB"/>
    <w:rsid w:val="00145F95"/>
    <w:rsid w:val="00153BA2"/>
    <w:rsid w:val="00156AB7"/>
    <w:rsid w:val="00156AC0"/>
    <w:rsid w:val="00160516"/>
    <w:rsid w:val="00163C2D"/>
    <w:rsid w:val="0016722F"/>
    <w:rsid w:val="00167DD5"/>
    <w:rsid w:val="001737B6"/>
    <w:rsid w:val="0017380E"/>
    <w:rsid w:val="00177389"/>
    <w:rsid w:val="0018076A"/>
    <w:rsid w:val="00187DC9"/>
    <w:rsid w:val="001936F7"/>
    <w:rsid w:val="0019406C"/>
    <w:rsid w:val="00194623"/>
    <w:rsid w:val="001950A9"/>
    <w:rsid w:val="001A46BC"/>
    <w:rsid w:val="001A504A"/>
    <w:rsid w:val="001A7C5A"/>
    <w:rsid w:val="001C2620"/>
    <w:rsid w:val="001C3C30"/>
    <w:rsid w:val="001C5B2A"/>
    <w:rsid w:val="001C5C74"/>
    <w:rsid w:val="001C7654"/>
    <w:rsid w:val="001C7A49"/>
    <w:rsid w:val="001D25FA"/>
    <w:rsid w:val="001D35ED"/>
    <w:rsid w:val="001D3BBB"/>
    <w:rsid w:val="001D6B61"/>
    <w:rsid w:val="001E0FDC"/>
    <w:rsid w:val="001E14D5"/>
    <w:rsid w:val="001E5D37"/>
    <w:rsid w:val="001E747F"/>
    <w:rsid w:val="001E7B4B"/>
    <w:rsid w:val="001F177B"/>
    <w:rsid w:val="001F6250"/>
    <w:rsid w:val="002008A4"/>
    <w:rsid w:val="002065F0"/>
    <w:rsid w:val="00210F89"/>
    <w:rsid w:val="00211987"/>
    <w:rsid w:val="0021746D"/>
    <w:rsid w:val="00223950"/>
    <w:rsid w:val="00226F9A"/>
    <w:rsid w:val="0022717F"/>
    <w:rsid w:val="0023153B"/>
    <w:rsid w:val="002338C5"/>
    <w:rsid w:val="00233E9E"/>
    <w:rsid w:val="002347AA"/>
    <w:rsid w:val="00234818"/>
    <w:rsid w:val="0024169B"/>
    <w:rsid w:val="0024313D"/>
    <w:rsid w:val="002431E7"/>
    <w:rsid w:val="002437EE"/>
    <w:rsid w:val="00245D53"/>
    <w:rsid w:val="00246016"/>
    <w:rsid w:val="00252E01"/>
    <w:rsid w:val="00256D87"/>
    <w:rsid w:val="00260755"/>
    <w:rsid w:val="00261622"/>
    <w:rsid w:val="002619C3"/>
    <w:rsid w:val="00261D37"/>
    <w:rsid w:val="00265694"/>
    <w:rsid w:val="00266484"/>
    <w:rsid w:val="002672A4"/>
    <w:rsid w:val="00272F62"/>
    <w:rsid w:val="00274081"/>
    <w:rsid w:val="00280D0F"/>
    <w:rsid w:val="00280D1A"/>
    <w:rsid w:val="002827FE"/>
    <w:rsid w:val="00282BB1"/>
    <w:rsid w:val="00284394"/>
    <w:rsid w:val="00284C0D"/>
    <w:rsid w:val="002855F5"/>
    <w:rsid w:val="00287240"/>
    <w:rsid w:val="0029452A"/>
    <w:rsid w:val="002A2DC6"/>
    <w:rsid w:val="002A5242"/>
    <w:rsid w:val="002A6009"/>
    <w:rsid w:val="002B01D9"/>
    <w:rsid w:val="002B3B67"/>
    <w:rsid w:val="002B63CA"/>
    <w:rsid w:val="002B653B"/>
    <w:rsid w:val="002B6D74"/>
    <w:rsid w:val="002C09AF"/>
    <w:rsid w:val="002C0DB0"/>
    <w:rsid w:val="002C18E3"/>
    <w:rsid w:val="002C1970"/>
    <w:rsid w:val="002C2616"/>
    <w:rsid w:val="002C29A7"/>
    <w:rsid w:val="002D0FA2"/>
    <w:rsid w:val="002E4E0D"/>
    <w:rsid w:val="002E581F"/>
    <w:rsid w:val="002E6286"/>
    <w:rsid w:val="002E736E"/>
    <w:rsid w:val="002F0175"/>
    <w:rsid w:val="002F2868"/>
    <w:rsid w:val="002F631D"/>
    <w:rsid w:val="00301C70"/>
    <w:rsid w:val="003050F3"/>
    <w:rsid w:val="00307E97"/>
    <w:rsid w:val="003125B1"/>
    <w:rsid w:val="003125C4"/>
    <w:rsid w:val="00316401"/>
    <w:rsid w:val="0031649A"/>
    <w:rsid w:val="003213DC"/>
    <w:rsid w:val="00321BA1"/>
    <w:rsid w:val="00323CF5"/>
    <w:rsid w:val="003269C7"/>
    <w:rsid w:val="003324FA"/>
    <w:rsid w:val="00332C48"/>
    <w:rsid w:val="0034657B"/>
    <w:rsid w:val="00347930"/>
    <w:rsid w:val="003509FC"/>
    <w:rsid w:val="00350C96"/>
    <w:rsid w:val="00353BFF"/>
    <w:rsid w:val="00355D28"/>
    <w:rsid w:val="00355E4D"/>
    <w:rsid w:val="00357C86"/>
    <w:rsid w:val="0036446F"/>
    <w:rsid w:val="003667BD"/>
    <w:rsid w:val="00372A21"/>
    <w:rsid w:val="0037462C"/>
    <w:rsid w:val="003758DF"/>
    <w:rsid w:val="00377601"/>
    <w:rsid w:val="003829F1"/>
    <w:rsid w:val="003854E4"/>
    <w:rsid w:val="0038550F"/>
    <w:rsid w:val="0038698B"/>
    <w:rsid w:val="00392439"/>
    <w:rsid w:val="003940B7"/>
    <w:rsid w:val="003944BD"/>
    <w:rsid w:val="00397F9C"/>
    <w:rsid w:val="003A456C"/>
    <w:rsid w:val="003A536D"/>
    <w:rsid w:val="003A605D"/>
    <w:rsid w:val="003A61B8"/>
    <w:rsid w:val="003B1C42"/>
    <w:rsid w:val="003B249F"/>
    <w:rsid w:val="003B42E3"/>
    <w:rsid w:val="003C0E29"/>
    <w:rsid w:val="003C193F"/>
    <w:rsid w:val="003C1C61"/>
    <w:rsid w:val="003C5FDF"/>
    <w:rsid w:val="003C7C08"/>
    <w:rsid w:val="003D052B"/>
    <w:rsid w:val="003D23DE"/>
    <w:rsid w:val="003D2D17"/>
    <w:rsid w:val="003D4279"/>
    <w:rsid w:val="003D6E48"/>
    <w:rsid w:val="003E1461"/>
    <w:rsid w:val="003E313F"/>
    <w:rsid w:val="003E3191"/>
    <w:rsid w:val="003E67B9"/>
    <w:rsid w:val="003E69AE"/>
    <w:rsid w:val="003E7265"/>
    <w:rsid w:val="003F0109"/>
    <w:rsid w:val="003F15A3"/>
    <w:rsid w:val="003F2725"/>
    <w:rsid w:val="003F31DA"/>
    <w:rsid w:val="003F5835"/>
    <w:rsid w:val="003F6B87"/>
    <w:rsid w:val="00400D86"/>
    <w:rsid w:val="00403230"/>
    <w:rsid w:val="00407D35"/>
    <w:rsid w:val="00407DBF"/>
    <w:rsid w:val="004110C1"/>
    <w:rsid w:val="0041163A"/>
    <w:rsid w:val="00411AA4"/>
    <w:rsid w:val="00414197"/>
    <w:rsid w:val="00417E3C"/>
    <w:rsid w:val="004201AE"/>
    <w:rsid w:val="00421FE3"/>
    <w:rsid w:val="004222A1"/>
    <w:rsid w:val="00423D9A"/>
    <w:rsid w:val="00426EEA"/>
    <w:rsid w:val="00426EF0"/>
    <w:rsid w:val="0043158B"/>
    <w:rsid w:val="004315D8"/>
    <w:rsid w:val="00434AA1"/>
    <w:rsid w:val="00445FBA"/>
    <w:rsid w:val="00446315"/>
    <w:rsid w:val="004467DD"/>
    <w:rsid w:val="0045276A"/>
    <w:rsid w:val="00453220"/>
    <w:rsid w:val="0045660C"/>
    <w:rsid w:val="004643BA"/>
    <w:rsid w:val="00464ECC"/>
    <w:rsid w:val="00474B8A"/>
    <w:rsid w:val="004776E9"/>
    <w:rsid w:val="00477F9C"/>
    <w:rsid w:val="00485EE9"/>
    <w:rsid w:val="00493440"/>
    <w:rsid w:val="004A0E30"/>
    <w:rsid w:val="004A45BE"/>
    <w:rsid w:val="004A59D2"/>
    <w:rsid w:val="004A5AD2"/>
    <w:rsid w:val="004A7F67"/>
    <w:rsid w:val="004B1B16"/>
    <w:rsid w:val="004B291E"/>
    <w:rsid w:val="004B3572"/>
    <w:rsid w:val="004B4641"/>
    <w:rsid w:val="004C20D3"/>
    <w:rsid w:val="004C31BA"/>
    <w:rsid w:val="004C4611"/>
    <w:rsid w:val="004C4ECB"/>
    <w:rsid w:val="004C5AFE"/>
    <w:rsid w:val="004D0B85"/>
    <w:rsid w:val="004D768B"/>
    <w:rsid w:val="004D7F6D"/>
    <w:rsid w:val="004E45F0"/>
    <w:rsid w:val="004E505B"/>
    <w:rsid w:val="004E602F"/>
    <w:rsid w:val="004F2637"/>
    <w:rsid w:val="00500F92"/>
    <w:rsid w:val="00501E76"/>
    <w:rsid w:val="00503165"/>
    <w:rsid w:val="00503D31"/>
    <w:rsid w:val="00506582"/>
    <w:rsid w:val="005066B5"/>
    <w:rsid w:val="00510518"/>
    <w:rsid w:val="00511B2F"/>
    <w:rsid w:val="00512C2E"/>
    <w:rsid w:val="00513129"/>
    <w:rsid w:val="00514063"/>
    <w:rsid w:val="005174FC"/>
    <w:rsid w:val="00530004"/>
    <w:rsid w:val="00530974"/>
    <w:rsid w:val="005310A7"/>
    <w:rsid w:val="00531EAE"/>
    <w:rsid w:val="005352FE"/>
    <w:rsid w:val="005463E6"/>
    <w:rsid w:val="00551DA9"/>
    <w:rsid w:val="00561693"/>
    <w:rsid w:val="0056557B"/>
    <w:rsid w:val="0059313B"/>
    <w:rsid w:val="00597B76"/>
    <w:rsid w:val="005B04A0"/>
    <w:rsid w:val="005B14FF"/>
    <w:rsid w:val="005B2D62"/>
    <w:rsid w:val="005B3F47"/>
    <w:rsid w:val="005C12BF"/>
    <w:rsid w:val="005C5CC5"/>
    <w:rsid w:val="005C691D"/>
    <w:rsid w:val="005D0269"/>
    <w:rsid w:val="005E0E3D"/>
    <w:rsid w:val="005E1EDA"/>
    <w:rsid w:val="005E3FF2"/>
    <w:rsid w:val="005F5EFE"/>
    <w:rsid w:val="005F68A7"/>
    <w:rsid w:val="006000BF"/>
    <w:rsid w:val="00600A5E"/>
    <w:rsid w:val="00601E54"/>
    <w:rsid w:val="00602D7D"/>
    <w:rsid w:val="00603916"/>
    <w:rsid w:val="00606FAC"/>
    <w:rsid w:val="00617160"/>
    <w:rsid w:val="00624E08"/>
    <w:rsid w:val="00626D61"/>
    <w:rsid w:val="006304A5"/>
    <w:rsid w:val="006309A9"/>
    <w:rsid w:val="0063315A"/>
    <w:rsid w:val="00633539"/>
    <w:rsid w:val="006457EE"/>
    <w:rsid w:val="00647D4E"/>
    <w:rsid w:val="00654BD1"/>
    <w:rsid w:val="00660664"/>
    <w:rsid w:val="00661920"/>
    <w:rsid w:val="00661C49"/>
    <w:rsid w:val="006653EE"/>
    <w:rsid w:val="00672247"/>
    <w:rsid w:val="006755DF"/>
    <w:rsid w:val="00677CF9"/>
    <w:rsid w:val="00677DC1"/>
    <w:rsid w:val="006816C7"/>
    <w:rsid w:val="00683BBD"/>
    <w:rsid w:val="00694D78"/>
    <w:rsid w:val="006971C3"/>
    <w:rsid w:val="006A2A1A"/>
    <w:rsid w:val="006A3879"/>
    <w:rsid w:val="006B3780"/>
    <w:rsid w:val="006B7607"/>
    <w:rsid w:val="006C0F1F"/>
    <w:rsid w:val="006C23A2"/>
    <w:rsid w:val="006C4F87"/>
    <w:rsid w:val="006C5FED"/>
    <w:rsid w:val="006E7008"/>
    <w:rsid w:val="006E7A17"/>
    <w:rsid w:val="006F1D86"/>
    <w:rsid w:val="006F5C2E"/>
    <w:rsid w:val="006F7975"/>
    <w:rsid w:val="007043F9"/>
    <w:rsid w:val="00705FF2"/>
    <w:rsid w:val="00710E5F"/>
    <w:rsid w:val="007110BB"/>
    <w:rsid w:val="00715F11"/>
    <w:rsid w:val="00726B7C"/>
    <w:rsid w:val="007274E4"/>
    <w:rsid w:val="00736B19"/>
    <w:rsid w:val="00741363"/>
    <w:rsid w:val="00741FA1"/>
    <w:rsid w:val="007441EA"/>
    <w:rsid w:val="00744963"/>
    <w:rsid w:val="00744DED"/>
    <w:rsid w:val="00746BFA"/>
    <w:rsid w:val="00747AB3"/>
    <w:rsid w:val="00752529"/>
    <w:rsid w:val="0076157D"/>
    <w:rsid w:val="00762ECE"/>
    <w:rsid w:val="007642A6"/>
    <w:rsid w:val="007673A6"/>
    <w:rsid w:val="00772977"/>
    <w:rsid w:val="00774046"/>
    <w:rsid w:val="00774537"/>
    <w:rsid w:val="00780249"/>
    <w:rsid w:val="00781A09"/>
    <w:rsid w:val="00781A45"/>
    <w:rsid w:val="007837BF"/>
    <w:rsid w:val="00783C9D"/>
    <w:rsid w:val="00790E1E"/>
    <w:rsid w:val="007950C3"/>
    <w:rsid w:val="007A1387"/>
    <w:rsid w:val="007A38B1"/>
    <w:rsid w:val="007A59DE"/>
    <w:rsid w:val="007A6F9C"/>
    <w:rsid w:val="007B0209"/>
    <w:rsid w:val="007B7AC4"/>
    <w:rsid w:val="007B7F89"/>
    <w:rsid w:val="007C06B9"/>
    <w:rsid w:val="007C2198"/>
    <w:rsid w:val="007C26F9"/>
    <w:rsid w:val="007C3681"/>
    <w:rsid w:val="007C445E"/>
    <w:rsid w:val="007C5E7F"/>
    <w:rsid w:val="007D0764"/>
    <w:rsid w:val="007D1E1F"/>
    <w:rsid w:val="007D205D"/>
    <w:rsid w:val="007F02C4"/>
    <w:rsid w:val="007F68AC"/>
    <w:rsid w:val="00802F5A"/>
    <w:rsid w:val="00803C13"/>
    <w:rsid w:val="00803D5B"/>
    <w:rsid w:val="00804BCD"/>
    <w:rsid w:val="008069E4"/>
    <w:rsid w:val="008076F2"/>
    <w:rsid w:val="0081099D"/>
    <w:rsid w:val="00813FE1"/>
    <w:rsid w:val="008144A8"/>
    <w:rsid w:val="0081723A"/>
    <w:rsid w:val="00821956"/>
    <w:rsid w:val="00821CEC"/>
    <w:rsid w:val="0082288F"/>
    <w:rsid w:val="00822F1A"/>
    <w:rsid w:val="00823A2F"/>
    <w:rsid w:val="00831AD4"/>
    <w:rsid w:val="00833750"/>
    <w:rsid w:val="00835E1C"/>
    <w:rsid w:val="00843DBF"/>
    <w:rsid w:val="00850144"/>
    <w:rsid w:val="00850BDF"/>
    <w:rsid w:val="00853138"/>
    <w:rsid w:val="008653D1"/>
    <w:rsid w:val="00872B23"/>
    <w:rsid w:val="008736C1"/>
    <w:rsid w:val="00875F26"/>
    <w:rsid w:val="008769E4"/>
    <w:rsid w:val="00877A2D"/>
    <w:rsid w:val="00880C98"/>
    <w:rsid w:val="0088378E"/>
    <w:rsid w:val="00883B70"/>
    <w:rsid w:val="00883C58"/>
    <w:rsid w:val="0088741A"/>
    <w:rsid w:val="00887CC3"/>
    <w:rsid w:val="00893971"/>
    <w:rsid w:val="008A2D11"/>
    <w:rsid w:val="008A4089"/>
    <w:rsid w:val="008A5021"/>
    <w:rsid w:val="008A641E"/>
    <w:rsid w:val="008B4C5D"/>
    <w:rsid w:val="008B5113"/>
    <w:rsid w:val="008B51AB"/>
    <w:rsid w:val="008C263B"/>
    <w:rsid w:val="008C2943"/>
    <w:rsid w:val="008C5EA5"/>
    <w:rsid w:val="008D2D8E"/>
    <w:rsid w:val="008D6236"/>
    <w:rsid w:val="008E375D"/>
    <w:rsid w:val="008E3B7C"/>
    <w:rsid w:val="008E6CE1"/>
    <w:rsid w:val="008F1612"/>
    <w:rsid w:val="008F35F9"/>
    <w:rsid w:val="008F5EB7"/>
    <w:rsid w:val="0090149E"/>
    <w:rsid w:val="009058AF"/>
    <w:rsid w:val="00907716"/>
    <w:rsid w:val="00907864"/>
    <w:rsid w:val="009106BF"/>
    <w:rsid w:val="009144FA"/>
    <w:rsid w:val="00915844"/>
    <w:rsid w:val="0091631D"/>
    <w:rsid w:val="00920E60"/>
    <w:rsid w:val="00921901"/>
    <w:rsid w:val="00923F0C"/>
    <w:rsid w:val="0092680D"/>
    <w:rsid w:val="009274FF"/>
    <w:rsid w:val="009324F2"/>
    <w:rsid w:val="0093578E"/>
    <w:rsid w:val="009358DD"/>
    <w:rsid w:val="00942EFE"/>
    <w:rsid w:val="009437DE"/>
    <w:rsid w:val="00952040"/>
    <w:rsid w:val="00961808"/>
    <w:rsid w:val="009645F4"/>
    <w:rsid w:val="00971953"/>
    <w:rsid w:val="00972680"/>
    <w:rsid w:val="00974553"/>
    <w:rsid w:val="0097577F"/>
    <w:rsid w:val="00976864"/>
    <w:rsid w:val="00976B77"/>
    <w:rsid w:val="00976D78"/>
    <w:rsid w:val="00977244"/>
    <w:rsid w:val="00977EC7"/>
    <w:rsid w:val="00981B8A"/>
    <w:rsid w:val="00992541"/>
    <w:rsid w:val="009925C1"/>
    <w:rsid w:val="0099454F"/>
    <w:rsid w:val="00995A9D"/>
    <w:rsid w:val="009A01E7"/>
    <w:rsid w:val="009A12C1"/>
    <w:rsid w:val="009B27B4"/>
    <w:rsid w:val="009C1FD3"/>
    <w:rsid w:val="009C2098"/>
    <w:rsid w:val="009C2D19"/>
    <w:rsid w:val="009C3528"/>
    <w:rsid w:val="009C4961"/>
    <w:rsid w:val="009C4E55"/>
    <w:rsid w:val="009C5996"/>
    <w:rsid w:val="009C5A9D"/>
    <w:rsid w:val="009C72C9"/>
    <w:rsid w:val="009D0869"/>
    <w:rsid w:val="009E0959"/>
    <w:rsid w:val="009E0E31"/>
    <w:rsid w:val="009E13A3"/>
    <w:rsid w:val="009E394D"/>
    <w:rsid w:val="009E5172"/>
    <w:rsid w:val="009F4B85"/>
    <w:rsid w:val="009F5474"/>
    <w:rsid w:val="009F67E3"/>
    <w:rsid w:val="00A00105"/>
    <w:rsid w:val="00A0429F"/>
    <w:rsid w:val="00A0613C"/>
    <w:rsid w:val="00A1425F"/>
    <w:rsid w:val="00A14553"/>
    <w:rsid w:val="00A2083B"/>
    <w:rsid w:val="00A21731"/>
    <w:rsid w:val="00A271AD"/>
    <w:rsid w:val="00A27EEE"/>
    <w:rsid w:val="00A305D9"/>
    <w:rsid w:val="00A32C11"/>
    <w:rsid w:val="00A36039"/>
    <w:rsid w:val="00A365E4"/>
    <w:rsid w:val="00A4260F"/>
    <w:rsid w:val="00A42C40"/>
    <w:rsid w:val="00A460E2"/>
    <w:rsid w:val="00A47C55"/>
    <w:rsid w:val="00A47D46"/>
    <w:rsid w:val="00A50738"/>
    <w:rsid w:val="00A519C0"/>
    <w:rsid w:val="00A56F2C"/>
    <w:rsid w:val="00A60C7A"/>
    <w:rsid w:val="00A655D7"/>
    <w:rsid w:val="00A712AA"/>
    <w:rsid w:val="00A7293E"/>
    <w:rsid w:val="00A745A5"/>
    <w:rsid w:val="00A77E69"/>
    <w:rsid w:val="00A86039"/>
    <w:rsid w:val="00A92146"/>
    <w:rsid w:val="00A92A6B"/>
    <w:rsid w:val="00A96D57"/>
    <w:rsid w:val="00AA2E31"/>
    <w:rsid w:val="00AA4FC0"/>
    <w:rsid w:val="00AA61C1"/>
    <w:rsid w:val="00AA6264"/>
    <w:rsid w:val="00AA798F"/>
    <w:rsid w:val="00AB494D"/>
    <w:rsid w:val="00AC0706"/>
    <w:rsid w:val="00AC3E9A"/>
    <w:rsid w:val="00AC48FF"/>
    <w:rsid w:val="00AC5718"/>
    <w:rsid w:val="00AC5EAF"/>
    <w:rsid w:val="00AD5991"/>
    <w:rsid w:val="00AE3329"/>
    <w:rsid w:val="00AE394E"/>
    <w:rsid w:val="00AF04DD"/>
    <w:rsid w:val="00AF4B05"/>
    <w:rsid w:val="00B0079D"/>
    <w:rsid w:val="00B019F7"/>
    <w:rsid w:val="00B028A4"/>
    <w:rsid w:val="00B234BD"/>
    <w:rsid w:val="00B236F9"/>
    <w:rsid w:val="00B23FA5"/>
    <w:rsid w:val="00B263B2"/>
    <w:rsid w:val="00B27931"/>
    <w:rsid w:val="00B304A8"/>
    <w:rsid w:val="00B30C3A"/>
    <w:rsid w:val="00B34529"/>
    <w:rsid w:val="00B34EA3"/>
    <w:rsid w:val="00B42A0B"/>
    <w:rsid w:val="00B42C44"/>
    <w:rsid w:val="00B444C9"/>
    <w:rsid w:val="00B46130"/>
    <w:rsid w:val="00B5599F"/>
    <w:rsid w:val="00B615BF"/>
    <w:rsid w:val="00B64A4C"/>
    <w:rsid w:val="00B64D61"/>
    <w:rsid w:val="00B65897"/>
    <w:rsid w:val="00B65B7E"/>
    <w:rsid w:val="00B6618F"/>
    <w:rsid w:val="00B735A1"/>
    <w:rsid w:val="00B74FA0"/>
    <w:rsid w:val="00B77724"/>
    <w:rsid w:val="00B8088C"/>
    <w:rsid w:val="00B85E97"/>
    <w:rsid w:val="00B908D8"/>
    <w:rsid w:val="00B9505E"/>
    <w:rsid w:val="00BA364D"/>
    <w:rsid w:val="00BA7C39"/>
    <w:rsid w:val="00BB1E58"/>
    <w:rsid w:val="00BB6BA4"/>
    <w:rsid w:val="00BB7727"/>
    <w:rsid w:val="00BC0141"/>
    <w:rsid w:val="00BC0E4B"/>
    <w:rsid w:val="00BC45C8"/>
    <w:rsid w:val="00BC60B0"/>
    <w:rsid w:val="00BD6330"/>
    <w:rsid w:val="00BD6DCD"/>
    <w:rsid w:val="00BE4701"/>
    <w:rsid w:val="00BE4A71"/>
    <w:rsid w:val="00BE5BE4"/>
    <w:rsid w:val="00BE6147"/>
    <w:rsid w:val="00BF00AD"/>
    <w:rsid w:val="00BF2CAE"/>
    <w:rsid w:val="00BF3E32"/>
    <w:rsid w:val="00BF45F6"/>
    <w:rsid w:val="00C01624"/>
    <w:rsid w:val="00C01E39"/>
    <w:rsid w:val="00C0298A"/>
    <w:rsid w:val="00C15A5F"/>
    <w:rsid w:val="00C20874"/>
    <w:rsid w:val="00C2089D"/>
    <w:rsid w:val="00C23FB9"/>
    <w:rsid w:val="00C24F6E"/>
    <w:rsid w:val="00C27614"/>
    <w:rsid w:val="00C30813"/>
    <w:rsid w:val="00C32CFE"/>
    <w:rsid w:val="00C37F72"/>
    <w:rsid w:val="00C40811"/>
    <w:rsid w:val="00C43C50"/>
    <w:rsid w:val="00C45115"/>
    <w:rsid w:val="00C47266"/>
    <w:rsid w:val="00C5001D"/>
    <w:rsid w:val="00C52D4B"/>
    <w:rsid w:val="00C544DF"/>
    <w:rsid w:val="00C55053"/>
    <w:rsid w:val="00C55CF4"/>
    <w:rsid w:val="00C57CDD"/>
    <w:rsid w:val="00C636DB"/>
    <w:rsid w:val="00C7261A"/>
    <w:rsid w:val="00C745A2"/>
    <w:rsid w:val="00C75CB8"/>
    <w:rsid w:val="00C77E20"/>
    <w:rsid w:val="00C8109A"/>
    <w:rsid w:val="00C82318"/>
    <w:rsid w:val="00C86454"/>
    <w:rsid w:val="00C866BC"/>
    <w:rsid w:val="00C9168E"/>
    <w:rsid w:val="00C95F40"/>
    <w:rsid w:val="00C97144"/>
    <w:rsid w:val="00CA17BF"/>
    <w:rsid w:val="00CA3418"/>
    <w:rsid w:val="00CB0787"/>
    <w:rsid w:val="00CB4C48"/>
    <w:rsid w:val="00CB7025"/>
    <w:rsid w:val="00CC2FF6"/>
    <w:rsid w:val="00CC38DF"/>
    <w:rsid w:val="00CC6657"/>
    <w:rsid w:val="00CC7F9E"/>
    <w:rsid w:val="00CD2FB8"/>
    <w:rsid w:val="00CD3075"/>
    <w:rsid w:val="00CD45C6"/>
    <w:rsid w:val="00CD56DC"/>
    <w:rsid w:val="00CF216B"/>
    <w:rsid w:val="00CF258F"/>
    <w:rsid w:val="00CF29BA"/>
    <w:rsid w:val="00CF6DAD"/>
    <w:rsid w:val="00CF7E25"/>
    <w:rsid w:val="00D00967"/>
    <w:rsid w:val="00D10569"/>
    <w:rsid w:val="00D1124D"/>
    <w:rsid w:val="00D12BB7"/>
    <w:rsid w:val="00D160B5"/>
    <w:rsid w:val="00D168F7"/>
    <w:rsid w:val="00D2019B"/>
    <w:rsid w:val="00D21890"/>
    <w:rsid w:val="00D221DD"/>
    <w:rsid w:val="00D250C4"/>
    <w:rsid w:val="00D25D27"/>
    <w:rsid w:val="00D27AB3"/>
    <w:rsid w:val="00D31405"/>
    <w:rsid w:val="00D33093"/>
    <w:rsid w:val="00D34645"/>
    <w:rsid w:val="00D3715C"/>
    <w:rsid w:val="00D508B5"/>
    <w:rsid w:val="00D51D18"/>
    <w:rsid w:val="00D51D49"/>
    <w:rsid w:val="00D5569A"/>
    <w:rsid w:val="00D56ADE"/>
    <w:rsid w:val="00D6287A"/>
    <w:rsid w:val="00D656BC"/>
    <w:rsid w:val="00D67FFB"/>
    <w:rsid w:val="00D7128D"/>
    <w:rsid w:val="00D777EE"/>
    <w:rsid w:val="00D80778"/>
    <w:rsid w:val="00D80EEF"/>
    <w:rsid w:val="00D968F6"/>
    <w:rsid w:val="00DA35C1"/>
    <w:rsid w:val="00DA6CC3"/>
    <w:rsid w:val="00DB3861"/>
    <w:rsid w:val="00DC2583"/>
    <w:rsid w:val="00DC32EE"/>
    <w:rsid w:val="00DC4913"/>
    <w:rsid w:val="00DC5B0C"/>
    <w:rsid w:val="00DC79D0"/>
    <w:rsid w:val="00DD1B80"/>
    <w:rsid w:val="00DD1C58"/>
    <w:rsid w:val="00DD5AB0"/>
    <w:rsid w:val="00DD5ED8"/>
    <w:rsid w:val="00DE0783"/>
    <w:rsid w:val="00DE30BA"/>
    <w:rsid w:val="00DE3412"/>
    <w:rsid w:val="00DE4148"/>
    <w:rsid w:val="00DE7100"/>
    <w:rsid w:val="00DF0377"/>
    <w:rsid w:val="00DF2E9F"/>
    <w:rsid w:val="00DF4945"/>
    <w:rsid w:val="00E00F9E"/>
    <w:rsid w:val="00E04F36"/>
    <w:rsid w:val="00E06966"/>
    <w:rsid w:val="00E13CEE"/>
    <w:rsid w:val="00E14C47"/>
    <w:rsid w:val="00E179BE"/>
    <w:rsid w:val="00E25F98"/>
    <w:rsid w:val="00E31717"/>
    <w:rsid w:val="00E31884"/>
    <w:rsid w:val="00E33A6C"/>
    <w:rsid w:val="00E360BE"/>
    <w:rsid w:val="00E420FE"/>
    <w:rsid w:val="00E42635"/>
    <w:rsid w:val="00E42DD2"/>
    <w:rsid w:val="00E4354C"/>
    <w:rsid w:val="00E44E37"/>
    <w:rsid w:val="00E45591"/>
    <w:rsid w:val="00E471B5"/>
    <w:rsid w:val="00E51879"/>
    <w:rsid w:val="00E52422"/>
    <w:rsid w:val="00E52F53"/>
    <w:rsid w:val="00E52FB8"/>
    <w:rsid w:val="00E53AA7"/>
    <w:rsid w:val="00E53D44"/>
    <w:rsid w:val="00E60E3E"/>
    <w:rsid w:val="00E61559"/>
    <w:rsid w:val="00E61C75"/>
    <w:rsid w:val="00E62FEF"/>
    <w:rsid w:val="00E6422C"/>
    <w:rsid w:val="00E70814"/>
    <w:rsid w:val="00E73E32"/>
    <w:rsid w:val="00E74941"/>
    <w:rsid w:val="00E755C7"/>
    <w:rsid w:val="00E7729D"/>
    <w:rsid w:val="00E778D4"/>
    <w:rsid w:val="00E807C3"/>
    <w:rsid w:val="00E84B30"/>
    <w:rsid w:val="00E851E3"/>
    <w:rsid w:val="00E93B15"/>
    <w:rsid w:val="00E944DC"/>
    <w:rsid w:val="00E96549"/>
    <w:rsid w:val="00EA5D99"/>
    <w:rsid w:val="00EB18BB"/>
    <w:rsid w:val="00EB2E41"/>
    <w:rsid w:val="00EB77FC"/>
    <w:rsid w:val="00EB78E9"/>
    <w:rsid w:val="00EC1699"/>
    <w:rsid w:val="00EC2AB3"/>
    <w:rsid w:val="00EC7358"/>
    <w:rsid w:val="00ED03E8"/>
    <w:rsid w:val="00ED2631"/>
    <w:rsid w:val="00ED2C8A"/>
    <w:rsid w:val="00ED7067"/>
    <w:rsid w:val="00EE2ABF"/>
    <w:rsid w:val="00EE7544"/>
    <w:rsid w:val="00EF0810"/>
    <w:rsid w:val="00EF5EBF"/>
    <w:rsid w:val="00F01CB6"/>
    <w:rsid w:val="00F07991"/>
    <w:rsid w:val="00F116AE"/>
    <w:rsid w:val="00F143C1"/>
    <w:rsid w:val="00F2501E"/>
    <w:rsid w:val="00F3596F"/>
    <w:rsid w:val="00F3707D"/>
    <w:rsid w:val="00F37DA0"/>
    <w:rsid w:val="00F42516"/>
    <w:rsid w:val="00F4682E"/>
    <w:rsid w:val="00F47A9C"/>
    <w:rsid w:val="00F51020"/>
    <w:rsid w:val="00F51559"/>
    <w:rsid w:val="00F54023"/>
    <w:rsid w:val="00F55218"/>
    <w:rsid w:val="00F56A72"/>
    <w:rsid w:val="00F63DA0"/>
    <w:rsid w:val="00F64CC3"/>
    <w:rsid w:val="00F6673B"/>
    <w:rsid w:val="00F67ECE"/>
    <w:rsid w:val="00F715DF"/>
    <w:rsid w:val="00F76B19"/>
    <w:rsid w:val="00F77175"/>
    <w:rsid w:val="00F77706"/>
    <w:rsid w:val="00F77E99"/>
    <w:rsid w:val="00F8554A"/>
    <w:rsid w:val="00F871A8"/>
    <w:rsid w:val="00F87513"/>
    <w:rsid w:val="00F87946"/>
    <w:rsid w:val="00F9044E"/>
    <w:rsid w:val="00F96946"/>
    <w:rsid w:val="00FA1AA0"/>
    <w:rsid w:val="00FA231E"/>
    <w:rsid w:val="00FA31D1"/>
    <w:rsid w:val="00FA70EA"/>
    <w:rsid w:val="00FA746C"/>
    <w:rsid w:val="00FB0B80"/>
    <w:rsid w:val="00FB1802"/>
    <w:rsid w:val="00FB1CEC"/>
    <w:rsid w:val="00FB438F"/>
    <w:rsid w:val="00FB49A7"/>
    <w:rsid w:val="00FB4F3B"/>
    <w:rsid w:val="00FC14D4"/>
    <w:rsid w:val="00FC2E7E"/>
    <w:rsid w:val="00FC2FFE"/>
    <w:rsid w:val="00FC601B"/>
    <w:rsid w:val="00FC61AE"/>
    <w:rsid w:val="00FC685D"/>
    <w:rsid w:val="00FC6B23"/>
    <w:rsid w:val="00FD15D7"/>
    <w:rsid w:val="00FD2908"/>
    <w:rsid w:val="00FD461C"/>
    <w:rsid w:val="00FD74C3"/>
    <w:rsid w:val="00FE2DFD"/>
    <w:rsid w:val="00FE7BC5"/>
    <w:rsid w:val="00FF3D3D"/>
    <w:rsid w:val="00FF5EF7"/>
    <w:rsid w:val="00FF7053"/>
    <w:rsid w:val="00FF728C"/>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ABE83E-A96A-40ED-B4E8-8342EB50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513"/>
    <w:pPr>
      <w:spacing w:line="120" w:lineRule="atLeast"/>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64D"/>
    <w:pPr>
      <w:tabs>
        <w:tab w:val="center" w:pos="4252"/>
        <w:tab w:val="right" w:pos="8504"/>
      </w:tabs>
      <w:snapToGrid w:val="0"/>
    </w:pPr>
  </w:style>
  <w:style w:type="character" w:customStyle="1" w:styleId="a4">
    <w:name w:val="ヘッダー (文字)"/>
    <w:basedOn w:val="a0"/>
    <w:link w:val="a3"/>
    <w:uiPriority w:val="99"/>
    <w:rsid w:val="00BA364D"/>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BA364D"/>
    <w:pPr>
      <w:tabs>
        <w:tab w:val="center" w:pos="4252"/>
        <w:tab w:val="right" w:pos="8504"/>
      </w:tabs>
      <w:snapToGrid w:val="0"/>
    </w:pPr>
  </w:style>
  <w:style w:type="character" w:customStyle="1" w:styleId="a6">
    <w:name w:val="フッター (文字)"/>
    <w:basedOn w:val="a0"/>
    <w:link w:val="a5"/>
    <w:uiPriority w:val="99"/>
    <w:rsid w:val="00BA364D"/>
    <w:rPr>
      <w:rFonts w:ascii="Times New Roman" w:eastAsia="ＭＳ ゴシック" w:hAnsi="Times New Roman" w:cs="ＭＳ ゴシック"/>
      <w:color w:val="000000"/>
      <w:kern w:val="0"/>
      <w:szCs w:val="21"/>
    </w:rPr>
  </w:style>
  <w:style w:type="paragraph" w:styleId="a7">
    <w:name w:val="Balloon Text"/>
    <w:basedOn w:val="a"/>
    <w:link w:val="a8"/>
    <w:uiPriority w:val="99"/>
    <w:semiHidden/>
    <w:unhideWhenUsed/>
    <w:rsid w:val="00A7293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293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706</Words>
  <Characters>4029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isozaki</dc:creator>
  <cp:keywords/>
  <dc:description/>
  <cp:lastModifiedBy>hideko isozaki</cp:lastModifiedBy>
  <cp:revision>9</cp:revision>
  <cp:lastPrinted>2015-09-12T13:20:00Z</cp:lastPrinted>
  <dcterms:created xsi:type="dcterms:W3CDTF">2015-09-09T15:41:00Z</dcterms:created>
  <dcterms:modified xsi:type="dcterms:W3CDTF">2015-09-12T17:49:00Z</dcterms:modified>
</cp:coreProperties>
</file>