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5D" w:rsidRPr="00A0065D" w:rsidRDefault="00A0065D" w:rsidP="00A0065D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065D">
        <w:rPr>
          <w:rFonts w:ascii="Times New Roman" w:hAnsi="Times New Roman" w:cs="Times New Roman"/>
          <w:b/>
          <w:caps/>
          <w:sz w:val="24"/>
          <w:szCs w:val="24"/>
        </w:rPr>
        <w:t>SUPPLEMENTAl Materials</w:t>
      </w:r>
    </w:p>
    <w:p w:rsidR="00785949" w:rsidRPr="00785949" w:rsidRDefault="00785949" w:rsidP="007859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PMingLiU" w:hAnsi="Times New Roman" w:cs="Times New Roman"/>
          <w:color w:val="111111"/>
          <w:sz w:val="24"/>
          <w:szCs w:val="24"/>
          <w:lang w:val="en"/>
        </w:rPr>
      </w:pP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lang w:val="en"/>
        </w:rPr>
        <w:t xml:space="preserve">HEATR1 Affects Pancreatic Cancer Cell Response to Chemotherapy by Negatively Regulating </w:t>
      </w:r>
      <w:proofErr w:type="spellStart"/>
      <w:r w:rsidRPr="00785949">
        <w:rPr>
          <w:rFonts w:ascii="Times New Roman" w:eastAsia="PMingLiU" w:hAnsi="Times New Roman" w:cs="Times New Roman"/>
          <w:color w:val="111111"/>
          <w:sz w:val="24"/>
          <w:szCs w:val="24"/>
          <w:lang w:val="en"/>
        </w:rPr>
        <w:t>Akt</w:t>
      </w:r>
      <w:proofErr w:type="spellEnd"/>
    </w:p>
    <w:p w:rsidR="00785949" w:rsidRPr="00785949" w:rsidRDefault="00785949" w:rsidP="0078594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PMingLiU" w:hAnsi="Times New Roman" w:cs="Times New Roman"/>
          <w:color w:val="111111"/>
          <w:sz w:val="24"/>
          <w:szCs w:val="24"/>
          <w:vertAlign w:val="superscript"/>
          <w:lang w:val="en"/>
        </w:rPr>
      </w:pP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lang w:val="en"/>
        </w:rPr>
        <w:t>Tongzheng Liu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vertAlign w:val="superscript"/>
          <w:lang w:val="en"/>
        </w:rPr>
        <w:t>1,4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lang w:val="en"/>
        </w:rPr>
        <w:t>, Yuan Fang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vertAlign w:val="superscript"/>
          <w:lang w:val="en"/>
        </w:rPr>
        <w:t>2,4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lang w:val="en"/>
        </w:rPr>
        <w:t>, Haoxing Zhang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vertAlign w:val="superscript"/>
          <w:lang w:val="en"/>
        </w:rPr>
        <w:t>1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lang w:val="en"/>
        </w:rPr>
        <w:t>, Min Deng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vertAlign w:val="superscript"/>
          <w:lang w:val="en"/>
        </w:rPr>
        <w:t>1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lang w:val="en"/>
        </w:rPr>
        <w:t>, Bowen Gao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vertAlign w:val="superscript"/>
          <w:lang w:val="en"/>
        </w:rPr>
        <w:t>1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lang w:val="en"/>
        </w:rPr>
        <w:t>, Nifang Niu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vertAlign w:val="superscript"/>
          <w:lang w:val="en"/>
        </w:rPr>
        <w:t>3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lang w:val="en"/>
        </w:rPr>
        <w:t>, Jia Yu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vertAlign w:val="superscript"/>
          <w:lang w:val="en"/>
        </w:rPr>
        <w:t>3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lang w:val="en"/>
        </w:rPr>
        <w:t xml:space="preserve">, </w:t>
      </w:r>
      <w:r w:rsidRPr="00785949">
        <w:rPr>
          <w:rFonts w:ascii="Times New Roman" w:eastAsia="PMingLiU" w:hAnsi="Times New Roman" w:cs="Times New Roman"/>
          <w:bCs/>
          <w:sz w:val="24"/>
          <w:szCs w:val="24"/>
        </w:rPr>
        <w:t>SeungBaek Lee</w:t>
      </w:r>
      <w:r w:rsidRPr="00785949">
        <w:rPr>
          <w:rFonts w:ascii="Times New Roman" w:eastAsia="PMingLiU" w:hAnsi="Times New Roman" w:cs="Times New Roman"/>
          <w:sz w:val="24"/>
          <w:szCs w:val="24"/>
          <w:vertAlign w:val="superscript"/>
        </w:rPr>
        <w:t>1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lang w:val="en"/>
        </w:rPr>
        <w:t xml:space="preserve">, </w:t>
      </w:r>
      <w:r w:rsidRPr="00785949">
        <w:rPr>
          <w:rFonts w:ascii="Times New Roman" w:eastAsia="PMingLiU" w:hAnsi="Times New Roman" w:cs="Times New Roman"/>
          <w:sz w:val="24"/>
          <w:szCs w:val="24"/>
        </w:rPr>
        <w:t>JungJin Kim</w:t>
      </w:r>
      <w:r w:rsidRPr="00785949">
        <w:rPr>
          <w:rFonts w:ascii="Times New Roman" w:eastAsia="PMingLiU" w:hAnsi="Times New Roman" w:cs="Times New Roman"/>
          <w:sz w:val="24"/>
          <w:szCs w:val="24"/>
          <w:vertAlign w:val="superscript"/>
        </w:rPr>
        <w:t>1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lang w:val="en"/>
        </w:rPr>
        <w:t>, Bo Qin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vertAlign w:val="superscript"/>
          <w:lang w:val="en"/>
        </w:rPr>
        <w:t>1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lang w:val="en"/>
        </w:rPr>
        <w:t xml:space="preserve"> </w:t>
      </w:r>
      <w:r w:rsidRPr="00785949">
        <w:rPr>
          <w:rFonts w:ascii="Times New Roman" w:eastAsia="PMingLiU" w:hAnsi="Times New Roman" w:cs="Times New Roman"/>
          <w:color w:val="2E2E2E"/>
          <w:sz w:val="24"/>
          <w:szCs w:val="24"/>
        </w:rPr>
        <w:t>, Fang Xie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vertAlign w:val="superscript"/>
          <w:lang w:val="en"/>
        </w:rPr>
        <w:t>3</w:t>
      </w:r>
      <w:r w:rsidRPr="00785949">
        <w:rPr>
          <w:rFonts w:ascii="Times New Roman" w:eastAsia="PMingLiU" w:hAnsi="Times New Roman" w:cs="Times New Roman"/>
          <w:color w:val="2E2E2E"/>
          <w:sz w:val="24"/>
          <w:szCs w:val="24"/>
        </w:rPr>
        <w:t>,</w:t>
      </w:r>
      <w:r w:rsidRPr="00785949">
        <w:rPr>
          <w:rFonts w:ascii="Arial" w:eastAsia="PMingLiU" w:hAnsi="Arial" w:cs="Arial"/>
          <w:color w:val="2E2E2E"/>
          <w:sz w:val="20"/>
          <w:szCs w:val="20"/>
        </w:rPr>
        <w:t xml:space="preserve"> </w:t>
      </w:r>
      <w:hyperlink r:id="rId6" w:history="1">
        <w:r w:rsidRPr="00785949">
          <w:rPr>
            <w:rFonts w:ascii="Times New Roman" w:eastAsia="PMingLiU" w:hAnsi="Times New Roman" w:cs="Times New Roman"/>
            <w:color w:val="111111"/>
            <w:sz w:val="24"/>
            <w:szCs w:val="24"/>
            <w:lang w:val="en"/>
          </w:rPr>
          <w:t>Debra Evans</w:t>
        </w:r>
      </w:hyperlink>
      <w:r w:rsidRPr="00785949">
        <w:rPr>
          <w:rFonts w:ascii="Times New Roman" w:eastAsia="PMingLiU" w:hAnsi="Times New Roman" w:cs="Times New Roman"/>
          <w:color w:val="111111"/>
          <w:sz w:val="24"/>
          <w:szCs w:val="24"/>
          <w:vertAlign w:val="superscript"/>
          <w:lang w:val="en"/>
        </w:rPr>
        <w:t>1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lang w:val="en"/>
        </w:rPr>
        <w:t>, Liewei Wang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vertAlign w:val="superscript"/>
          <w:lang w:val="en"/>
        </w:rPr>
        <w:t>3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lang w:val="en"/>
        </w:rPr>
        <w:t xml:space="preserve">, </w:t>
      </w:r>
      <w:proofErr w:type="spellStart"/>
      <w:r w:rsidRPr="00785949">
        <w:rPr>
          <w:rFonts w:ascii="Times New Roman" w:eastAsia="PMingLiU" w:hAnsi="Times New Roman" w:cs="Times New Roman"/>
          <w:color w:val="111111"/>
          <w:sz w:val="24"/>
          <w:szCs w:val="24"/>
          <w:lang w:val="en"/>
        </w:rPr>
        <w:t>Wenhui</w:t>
      </w:r>
      <w:proofErr w:type="spellEnd"/>
      <w:r w:rsidRPr="00785949">
        <w:rPr>
          <w:rFonts w:ascii="Times New Roman" w:eastAsia="PMingLiU" w:hAnsi="Times New Roman" w:cs="Times New Roman"/>
          <w:color w:val="111111"/>
          <w:sz w:val="24"/>
          <w:szCs w:val="24"/>
          <w:lang w:val="en"/>
        </w:rPr>
        <w:t xml:space="preserve"> Lou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vertAlign w:val="superscript"/>
          <w:lang w:val="en"/>
        </w:rPr>
        <w:t>2#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lang w:val="en"/>
        </w:rPr>
        <w:t>, Zhenkun Lou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vertAlign w:val="superscript"/>
          <w:lang w:val="en"/>
        </w:rPr>
        <w:t>1#</w:t>
      </w:r>
    </w:p>
    <w:p w:rsidR="00785949" w:rsidRPr="00785949" w:rsidRDefault="00785949" w:rsidP="007859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PMingLiU" w:hAnsi="Times New Roman" w:cs="Times New Roman"/>
          <w:color w:val="111111"/>
          <w:sz w:val="24"/>
          <w:szCs w:val="24"/>
        </w:rPr>
      </w:pP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vertAlign w:val="superscript"/>
        </w:rPr>
        <w:t>1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</w:rPr>
        <w:t xml:space="preserve"> Division of Oncology Research, Department of Oncology, Mayo Clinic, 200 First Street SW, Rochester, MN 55905, USA </w:t>
      </w:r>
    </w:p>
    <w:p w:rsidR="00785949" w:rsidRPr="00785949" w:rsidRDefault="00785949" w:rsidP="00785949">
      <w:pPr>
        <w:spacing w:after="0" w:line="480" w:lineRule="auto"/>
        <w:rPr>
          <w:rFonts w:ascii="Times New Roman" w:eastAsia="PMingLiU" w:hAnsi="Times New Roman" w:cs="Times New Roman"/>
          <w:color w:val="111111"/>
          <w:sz w:val="24"/>
          <w:szCs w:val="24"/>
        </w:rPr>
      </w:pP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vertAlign w:val="superscript"/>
        </w:rPr>
        <w:t>2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</w:rPr>
        <w:t xml:space="preserve"> Department of Pancreatic Surgery, </w:t>
      </w:r>
      <w:proofErr w:type="spellStart"/>
      <w:r w:rsidRPr="00785949">
        <w:rPr>
          <w:rFonts w:ascii="Times New Roman" w:eastAsia="PMingLiU" w:hAnsi="Times New Roman" w:cs="Times New Roman"/>
          <w:color w:val="111111"/>
          <w:sz w:val="24"/>
          <w:szCs w:val="24"/>
        </w:rPr>
        <w:t>Zhongshan</w:t>
      </w:r>
      <w:proofErr w:type="spellEnd"/>
      <w:r w:rsidRPr="00785949">
        <w:rPr>
          <w:rFonts w:ascii="Times New Roman" w:eastAsia="PMingLiU" w:hAnsi="Times New Roman" w:cs="Times New Roman"/>
          <w:color w:val="111111"/>
          <w:sz w:val="24"/>
          <w:szCs w:val="24"/>
        </w:rPr>
        <w:t xml:space="preserve"> Hospital, </w:t>
      </w:r>
      <w:proofErr w:type="spellStart"/>
      <w:r w:rsidRPr="00785949">
        <w:rPr>
          <w:rFonts w:ascii="Times New Roman" w:eastAsia="PMingLiU" w:hAnsi="Times New Roman" w:cs="Times New Roman"/>
          <w:color w:val="111111"/>
          <w:sz w:val="24"/>
          <w:szCs w:val="24"/>
        </w:rPr>
        <w:t>Fudan</w:t>
      </w:r>
      <w:proofErr w:type="spellEnd"/>
      <w:r w:rsidRPr="00785949">
        <w:rPr>
          <w:rFonts w:ascii="Times New Roman" w:eastAsia="PMingLiU" w:hAnsi="Times New Roman" w:cs="Times New Roman"/>
          <w:color w:val="111111"/>
          <w:sz w:val="24"/>
          <w:szCs w:val="24"/>
        </w:rPr>
        <w:t xml:space="preserve"> University, 180 </w:t>
      </w:r>
      <w:proofErr w:type="spellStart"/>
      <w:r w:rsidRPr="00785949">
        <w:rPr>
          <w:rFonts w:ascii="Times New Roman" w:eastAsia="PMingLiU" w:hAnsi="Times New Roman" w:cs="Times New Roman"/>
          <w:color w:val="111111"/>
          <w:sz w:val="24"/>
          <w:szCs w:val="24"/>
        </w:rPr>
        <w:t>Fenglin</w:t>
      </w:r>
      <w:proofErr w:type="spellEnd"/>
      <w:r w:rsidRPr="00785949">
        <w:rPr>
          <w:rFonts w:ascii="Times New Roman" w:eastAsia="PMingLiU" w:hAnsi="Times New Roman" w:cs="Times New Roman"/>
          <w:color w:val="111111"/>
          <w:sz w:val="24"/>
          <w:szCs w:val="24"/>
        </w:rPr>
        <w:t xml:space="preserve"> Rd, Shanghai, 200032, China </w:t>
      </w:r>
    </w:p>
    <w:p w:rsidR="00785949" w:rsidRPr="00785949" w:rsidRDefault="00785949" w:rsidP="007859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PMingLiU" w:hAnsi="Times New Roman" w:cs="Times New Roman"/>
          <w:color w:val="111111"/>
          <w:sz w:val="24"/>
          <w:szCs w:val="24"/>
        </w:rPr>
      </w:pP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vertAlign w:val="superscript"/>
        </w:rPr>
        <w:t>3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</w:rPr>
        <w:t xml:space="preserve"> Division of Clinical Pharmacology, Department of Molecular Pharmacology and Experimental Therapeutics, Mayo Clinic, Rochester, MN 55905, USA </w:t>
      </w:r>
    </w:p>
    <w:p w:rsidR="00785949" w:rsidRPr="00785949" w:rsidRDefault="00785949" w:rsidP="007859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PMingLiU" w:hAnsi="Times New Roman" w:cs="Times New Roman"/>
          <w:color w:val="111111"/>
          <w:sz w:val="24"/>
          <w:szCs w:val="24"/>
        </w:rPr>
      </w:pPr>
      <w:r w:rsidRPr="00785949">
        <w:rPr>
          <w:rFonts w:ascii="Times New Roman" w:eastAsia="PMingLiU" w:hAnsi="Times New Roman" w:cs="Times New Roman"/>
          <w:color w:val="111111"/>
          <w:sz w:val="24"/>
          <w:szCs w:val="24"/>
          <w:vertAlign w:val="superscript"/>
        </w:rPr>
        <w:t>4</w:t>
      </w:r>
      <w:r w:rsidRPr="00785949">
        <w:rPr>
          <w:rFonts w:ascii="Times New Roman" w:eastAsia="PMingLiU" w:hAnsi="Times New Roman" w:cs="Times New Roman"/>
          <w:color w:val="111111"/>
          <w:sz w:val="24"/>
          <w:szCs w:val="24"/>
        </w:rPr>
        <w:t xml:space="preserve"> These authors contributed equally to this work</w:t>
      </w:r>
    </w:p>
    <w:p w:rsidR="004A4FEA" w:rsidRPr="004A4FEA" w:rsidRDefault="004A4FEA" w:rsidP="004A4FEA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24"/>
          <w:szCs w:val="24"/>
        </w:rPr>
      </w:pPr>
      <w:r w:rsidRPr="004A4FEA">
        <w:rPr>
          <w:rFonts w:ascii="Times New Roman" w:hAnsi="Times New Roman" w:cs="Times New Roman"/>
          <w:color w:val="111111"/>
          <w:sz w:val="24"/>
          <w:szCs w:val="24"/>
          <w:vertAlign w:val="superscript"/>
        </w:rPr>
        <w:t>#</w:t>
      </w:r>
      <w:r w:rsidRPr="004A4FEA">
        <w:rPr>
          <w:rFonts w:ascii="Times New Roman" w:hAnsi="Times New Roman" w:cs="Times New Roman"/>
          <w:color w:val="111111"/>
          <w:sz w:val="24"/>
          <w:szCs w:val="24"/>
        </w:rPr>
        <w:t xml:space="preserve"> Correspondence: </w:t>
      </w:r>
    </w:p>
    <w:p w:rsidR="004A4FEA" w:rsidRPr="004A4FEA" w:rsidRDefault="004A4FEA" w:rsidP="004A4FE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A4FEA">
        <w:rPr>
          <w:rFonts w:ascii="Times New Roman" w:hAnsi="Times New Roman" w:cs="Times New Roman"/>
          <w:color w:val="111111"/>
          <w:sz w:val="24"/>
          <w:szCs w:val="24"/>
        </w:rPr>
        <w:t>Zhenkun Lou: Mayo Clinic, 200 First Street SW, Rochester, MN 55905, USA lou.zhenkun@mayo.edu</w:t>
      </w:r>
    </w:p>
    <w:p w:rsidR="004A4FEA" w:rsidRPr="004A4FEA" w:rsidRDefault="004A4FEA" w:rsidP="004A4FE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4A4FEA">
        <w:rPr>
          <w:rFonts w:ascii="Times New Roman" w:hAnsi="Times New Roman" w:cs="Times New Roman"/>
          <w:color w:val="111111"/>
          <w:sz w:val="24"/>
          <w:szCs w:val="24"/>
          <w:lang w:val="en"/>
        </w:rPr>
        <w:t>Wenhui</w:t>
      </w:r>
      <w:proofErr w:type="spellEnd"/>
      <w:r w:rsidRPr="004A4FEA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Lou:</w:t>
      </w:r>
      <w:r w:rsidRPr="004A4FEA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4A4FEA">
        <w:rPr>
          <w:rFonts w:ascii="Times New Roman" w:hAnsi="Times New Roman" w:cs="Times New Roman"/>
          <w:color w:val="111111"/>
          <w:sz w:val="24"/>
          <w:szCs w:val="24"/>
        </w:rPr>
        <w:t>Fudan</w:t>
      </w:r>
      <w:proofErr w:type="spellEnd"/>
      <w:r w:rsidRPr="004A4FEA">
        <w:rPr>
          <w:rFonts w:ascii="Times New Roman" w:hAnsi="Times New Roman" w:cs="Times New Roman"/>
          <w:color w:val="111111"/>
          <w:sz w:val="24"/>
          <w:szCs w:val="24"/>
        </w:rPr>
        <w:t xml:space="preserve"> University, 180 </w:t>
      </w:r>
      <w:proofErr w:type="spellStart"/>
      <w:r w:rsidRPr="004A4FEA">
        <w:rPr>
          <w:rFonts w:ascii="Times New Roman" w:hAnsi="Times New Roman" w:cs="Times New Roman"/>
          <w:color w:val="111111"/>
          <w:sz w:val="24"/>
          <w:szCs w:val="24"/>
        </w:rPr>
        <w:t>Fenglin</w:t>
      </w:r>
      <w:proofErr w:type="spellEnd"/>
      <w:r w:rsidRPr="004A4FEA">
        <w:rPr>
          <w:rFonts w:ascii="Times New Roman" w:hAnsi="Times New Roman" w:cs="Times New Roman"/>
          <w:color w:val="111111"/>
          <w:sz w:val="24"/>
          <w:szCs w:val="24"/>
        </w:rPr>
        <w:t xml:space="preserve"> Rd, Shanghai, 200032, China lou.wenhui@zs-hospital.sh.cn </w:t>
      </w:r>
    </w:p>
    <w:p w:rsidR="004A4FEA" w:rsidRPr="004A4FEA" w:rsidRDefault="004A4FEA" w:rsidP="004A4FE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val="en"/>
        </w:rPr>
      </w:pPr>
      <w:r w:rsidRPr="004A4FEA">
        <w:rPr>
          <w:rFonts w:ascii="Times New Roman" w:hAnsi="Times New Roman" w:cs="Times New Roman"/>
          <w:b/>
          <w:color w:val="111111"/>
          <w:sz w:val="24"/>
          <w:szCs w:val="24"/>
        </w:rPr>
        <w:t>Financial Support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Pr="004A4FEA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This work was supported by grants from the National Institutes of Health (CA130996 and CA151329, </w:t>
      </w:r>
      <w:proofErr w:type="spellStart"/>
      <w:r w:rsidRPr="004A4FEA">
        <w:rPr>
          <w:rFonts w:ascii="Times New Roman" w:hAnsi="Times New Roman" w:cs="Times New Roman"/>
          <w:color w:val="111111"/>
          <w:sz w:val="24"/>
          <w:szCs w:val="24"/>
          <w:lang w:val="en"/>
        </w:rPr>
        <w:t>Z.Lou</w:t>
      </w:r>
      <w:proofErr w:type="spellEnd"/>
      <w:r w:rsidRPr="004A4FEA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) and Special Research Fund for public welfare from Ministry of Health of China (201202007, </w:t>
      </w:r>
      <w:proofErr w:type="spellStart"/>
      <w:r w:rsidRPr="004A4FEA">
        <w:rPr>
          <w:rFonts w:ascii="Times New Roman" w:hAnsi="Times New Roman" w:cs="Times New Roman"/>
          <w:color w:val="111111"/>
          <w:sz w:val="24"/>
          <w:szCs w:val="24"/>
          <w:lang w:val="en"/>
        </w:rPr>
        <w:t>W.Lou</w:t>
      </w:r>
      <w:proofErr w:type="spellEnd"/>
      <w:r w:rsidRPr="004A4FEA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). </w:t>
      </w:r>
    </w:p>
    <w:p w:rsidR="004A4FEA" w:rsidRPr="004A4FEA" w:rsidRDefault="004A4FEA" w:rsidP="004A4FE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val="en"/>
        </w:rPr>
      </w:pPr>
      <w:r w:rsidRPr="004A4FEA">
        <w:rPr>
          <w:rFonts w:ascii="Times New Roman" w:hAnsi="Times New Roman" w:cs="Times New Roman"/>
          <w:b/>
          <w:color w:val="111111"/>
          <w:sz w:val="24"/>
          <w:szCs w:val="24"/>
          <w:lang w:val="en"/>
        </w:rPr>
        <w:t>Conflict of Interest statement</w:t>
      </w:r>
      <w:r>
        <w:rPr>
          <w:rFonts w:ascii="Times New Roman" w:hAnsi="Times New Roman" w:cs="Times New Roman"/>
          <w:b/>
          <w:color w:val="111111"/>
          <w:sz w:val="24"/>
          <w:szCs w:val="24"/>
          <w:lang w:val="en"/>
        </w:rPr>
        <w:t xml:space="preserve"> </w:t>
      </w:r>
      <w:r w:rsidRPr="004A4FEA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No author has conflict of interest with the contents of this article. </w:t>
      </w:r>
    </w:p>
    <w:p w:rsidR="00A0065D" w:rsidRPr="00A0065D" w:rsidRDefault="00A0065D" w:rsidP="00A0065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A0065D">
        <w:rPr>
          <w:rFonts w:ascii="Times New Roman" w:hAnsi="Times New Roman" w:cs="Times New Roman"/>
          <w:b/>
          <w:caps/>
          <w:sz w:val="24"/>
          <w:szCs w:val="24"/>
        </w:rPr>
        <w:lastRenderedPageBreak/>
        <w:t>SUPPLEMENTAL Methods</w:t>
      </w:r>
    </w:p>
    <w:p w:rsidR="00EA7A2E" w:rsidRPr="00C515CB" w:rsidRDefault="00C515CB" w:rsidP="00EA7A2E">
      <w:pPr>
        <w:shd w:val="clear" w:color="auto" w:fill="FFFFFF"/>
        <w:spacing w:line="48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en"/>
        </w:rPr>
      </w:pPr>
      <w:r w:rsidRPr="00C515CB">
        <w:rPr>
          <w:rFonts w:ascii="Times New Roman" w:eastAsia="SimSun" w:hAnsi="Times New Roman" w:cs="Times New Roman"/>
          <w:b/>
          <w:color w:val="000000"/>
          <w:sz w:val="24"/>
          <w:szCs w:val="24"/>
          <w:lang w:val="en"/>
        </w:rPr>
        <w:t>Antibodies</w:t>
      </w:r>
    </w:p>
    <w:p w:rsidR="00172CE4" w:rsidRPr="007940D1" w:rsidRDefault="00C515CB" w:rsidP="00172CE4">
      <w:pPr>
        <w:shd w:val="clear" w:color="auto" w:fill="FFFFFF"/>
        <w:spacing w:before="240" w:line="480" w:lineRule="auto"/>
        <w:jc w:val="both"/>
        <w:outlineLvl w:val="3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"/>
        </w:rPr>
      </w:pPr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Antibodies against </w:t>
      </w:r>
      <w:proofErr w:type="spellStart"/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Akt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(</w:t>
      </w:r>
      <w:r w:rsidR="00047E8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9272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)</w:t>
      </w:r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phospho-</w:t>
      </w:r>
      <w:proofErr w:type="gramStart"/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Akt</w:t>
      </w:r>
      <w:proofErr w:type="spellEnd"/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(</w:t>
      </w:r>
      <w:proofErr w:type="gramEnd"/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Thr308)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(</w:t>
      </w:r>
      <w:r w:rsidR="00047E8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9275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)</w:t>
      </w:r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phospho-Akt</w:t>
      </w:r>
      <w:proofErr w:type="spellEnd"/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(Ser473)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</w:t>
      </w:r>
      <w:r w:rsidR="00047E8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(9271)</w:t>
      </w:r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, </w:t>
      </w:r>
      <w:r w:rsidRPr="00785949">
        <w:rPr>
          <w:rFonts w:ascii="Times New Roman" w:hAnsi="Times New Roman" w:cs="Times New Roman"/>
          <w:color w:val="111111"/>
          <w:sz w:val="24"/>
          <w:szCs w:val="24"/>
          <w:lang w:val="en"/>
        </w:rPr>
        <w:t>GSK3β</w:t>
      </w:r>
      <w:r w:rsidR="00047E88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(9315)</w:t>
      </w:r>
      <w:r w:rsidRPr="00785949">
        <w:rPr>
          <w:rFonts w:ascii="Times New Roman" w:hAnsi="Times New Roman" w:cs="Times New Roman"/>
          <w:color w:val="111111"/>
          <w:sz w:val="24"/>
          <w:szCs w:val="24"/>
          <w:lang w:val="en"/>
        </w:rPr>
        <w:t>, phospho-GSK3β</w:t>
      </w:r>
      <w:r w:rsidR="00047E88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(9336)</w:t>
      </w:r>
      <w:r w:rsidRPr="00785949">
        <w:rPr>
          <w:rFonts w:ascii="Times New Roman" w:hAnsi="Times New Roman" w:cs="Times New Roman"/>
          <w:color w:val="111111"/>
          <w:sz w:val="24"/>
          <w:szCs w:val="24"/>
          <w:lang w:val="en"/>
        </w:rPr>
        <w:t>, PDK1</w:t>
      </w:r>
      <w:r w:rsidR="00047E88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(3062)</w:t>
      </w:r>
      <w:r w:rsidRPr="00785949">
        <w:rPr>
          <w:rFonts w:ascii="Times New Roman" w:hAnsi="Times New Roman" w:cs="Times New Roman"/>
          <w:color w:val="111111"/>
          <w:sz w:val="24"/>
          <w:szCs w:val="24"/>
          <w:lang w:val="en"/>
        </w:rPr>
        <w:t>, phospho-PDK1</w:t>
      </w:r>
      <w:r w:rsidR="00047E88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(3061)</w:t>
      </w:r>
      <w:r w:rsidRPr="00785949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, </w:t>
      </w:r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PP2A Aα</w:t>
      </w:r>
      <w:r w:rsidR="00047E8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(2039)</w:t>
      </w:r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,</w:t>
      </w:r>
      <w:r w:rsidR="00047E8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</w:t>
      </w:r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B55α</w:t>
      </w:r>
      <w:r w:rsidR="00047E8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(4953)</w:t>
      </w:r>
      <w:r w:rsidR="00172CE4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, </w:t>
      </w:r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Cα</w:t>
      </w:r>
      <w:r w:rsidR="00047E8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(2038)</w:t>
      </w:r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</w:t>
      </w:r>
      <w:r w:rsidR="00172CE4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and cleaved PARP1 (5625) </w:t>
      </w:r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were </w:t>
      </w:r>
      <w:r w:rsidR="00736CE2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purchased </w:t>
      </w:r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from Cell Signaling. </w:t>
      </w:r>
      <w:r w:rsidRPr="00047E8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A</w:t>
      </w:r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nti-HEATR1 antibody was </w:t>
      </w:r>
      <w:r w:rsidRPr="00047E8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generated </w:t>
      </w:r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with GST fusion protein of HEATR1</w:t>
      </w:r>
      <w:r w:rsidRPr="00047E8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(</w:t>
      </w:r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1894-2144</w:t>
      </w:r>
      <w:r w:rsidRPr="00047E8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)</w:t>
      </w:r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. Anti-FLAG</w:t>
      </w:r>
      <w:r w:rsidR="00047E8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(</w:t>
      </w:r>
      <w:r w:rsidR="00172CE4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F3165</w:t>
      </w:r>
      <w:r w:rsidR="00047E8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)</w:t>
      </w:r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, anti-HA</w:t>
      </w:r>
      <w:r w:rsidR="00172CE4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(H3663)</w:t>
      </w:r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and anti-β-actin</w:t>
      </w:r>
      <w:r w:rsidR="00172CE4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(A2228)</w:t>
      </w:r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antibodies were </w:t>
      </w:r>
      <w:r w:rsidR="00736CE2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purchased </w:t>
      </w:r>
      <w:r w:rsidRPr="00785949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from Sigma.</w:t>
      </w:r>
      <w:r w:rsidR="00172CE4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Mouse anti-</w:t>
      </w:r>
      <w:proofErr w:type="spellStart"/>
      <w:r w:rsidR="00172CE4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Akt</w:t>
      </w:r>
      <w:proofErr w:type="spellEnd"/>
      <w:r w:rsidR="00172CE4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(2920) </w:t>
      </w:r>
      <w:r w:rsidR="002D1B6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used for i</w:t>
      </w:r>
      <w:r w:rsidR="002D1B68" w:rsidRPr="00172CE4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mmunofluorescence staining</w:t>
      </w:r>
      <w:r w:rsidR="002D1B6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were purchased </w:t>
      </w:r>
      <w:r w:rsidR="00172CE4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from Cell Signaling.</w:t>
      </w:r>
      <w:r w:rsidR="0067602A" w:rsidRPr="002D1B6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</w:t>
      </w:r>
      <w:r w:rsidR="00736CE2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A</w:t>
      </w:r>
      <w:r w:rsidR="0067602A" w:rsidRPr="002D1B6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nti-HEATR1 (HPA046917) and anti-</w:t>
      </w:r>
      <w:proofErr w:type="spellStart"/>
      <w:r w:rsidR="0067602A" w:rsidRPr="002D1B6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phospho</w:t>
      </w:r>
      <w:proofErr w:type="spellEnd"/>
      <w:r w:rsidR="0067602A" w:rsidRPr="002D1B6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proofErr w:type="gramStart"/>
      <w:r w:rsidR="0067602A" w:rsidRPr="002D1B6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Akt</w:t>
      </w:r>
      <w:proofErr w:type="spellEnd"/>
      <w:r w:rsidR="0067602A" w:rsidRPr="002D1B6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(</w:t>
      </w:r>
      <w:proofErr w:type="gramEnd"/>
      <w:r w:rsidR="0067602A" w:rsidRPr="002D1B6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Thr308) (</w:t>
      </w:r>
      <w:r w:rsidR="002D1B68" w:rsidRPr="002D1B6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SAB4504332</w:t>
      </w:r>
      <w:r w:rsidR="0067602A" w:rsidRPr="002D1B6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)</w:t>
      </w:r>
      <w:r w:rsidR="002D1B68" w:rsidRPr="002D1B6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</w:t>
      </w:r>
      <w:r w:rsidR="0067602A" w:rsidRPr="002D1B6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antibod</w:t>
      </w:r>
      <w:r w:rsidR="002D1B6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ies</w:t>
      </w:r>
      <w:r w:rsidR="00736CE2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used for </w:t>
      </w:r>
      <w:proofErr w:type="spellStart"/>
      <w:r w:rsidR="00736CE2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immunohistochemical</w:t>
      </w:r>
      <w:proofErr w:type="spellEnd"/>
      <w:r w:rsidR="00736CE2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s</w:t>
      </w:r>
      <w:r w:rsidR="002D1B68" w:rsidRPr="002D1B6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taining</w:t>
      </w:r>
      <w:r w:rsidR="002D1B6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were </w:t>
      </w:r>
      <w:r w:rsidR="00736CE2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obtained</w:t>
      </w:r>
      <w:r w:rsidR="002D1B6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</w:t>
      </w:r>
      <w:r w:rsidR="002D1B68" w:rsidRPr="002D1B6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from </w:t>
      </w:r>
      <w:r w:rsidR="00736CE2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S</w:t>
      </w:r>
      <w:r w:rsidR="002D1B68" w:rsidRPr="002D1B6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igma</w:t>
      </w:r>
      <w:r w:rsidR="002D1B6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.</w:t>
      </w:r>
      <w:r w:rsidR="002D1B68" w:rsidRPr="002D1B68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EA7A2E" w:rsidRPr="007940D1" w:rsidRDefault="00EA7A2E" w:rsidP="00EA7A2E">
      <w:pPr>
        <w:spacing w:line="48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"/>
        </w:rPr>
      </w:pPr>
      <w:proofErr w:type="spellStart"/>
      <w:r w:rsidRPr="007940D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"/>
        </w:rPr>
        <w:t>Immunoprecipitation</w:t>
      </w:r>
      <w:proofErr w:type="spellEnd"/>
      <w:r w:rsidRPr="007940D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"/>
        </w:rPr>
        <w:t xml:space="preserve">, immunoblotting, and </w:t>
      </w:r>
      <w:r w:rsidRPr="007940D1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val="en"/>
        </w:rPr>
        <w:t>In vitro</w:t>
      </w:r>
      <w:r w:rsidRPr="007940D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"/>
        </w:rPr>
        <w:t xml:space="preserve"> pull-down assay</w:t>
      </w:r>
    </w:p>
    <w:p w:rsidR="00EA7A2E" w:rsidRPr="007940D1" w:rsidRDefault="00EA7A2E" w:rsidP="00EA7A2E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</w:pPr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We prepared cell lysates, performed </w:t>
      </w:r>
      <w:proofErr w:type="spellStart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immunoprecipitation</w:t>
      </w:r>
      <w:proofErr w:type="spellEnd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, and immunoblotting as previously described. In brief, cells were lysed with NETN buffer (20mM </w:t>
      </w:r>
      <w:proofErr w:type="spellStart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Tris-HCl</w:t>
      </w:r>
      <w:proofErr w:type="spellEnd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, pH 8.0, 100mM </w:t>
      </w:r>
      <w:proofErr w:type="spellStart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NaCl</w:t>
      </w:r>
      <w:proofErr w:type="spellEnd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, 1mM EDTA, 0.5% </w:t>
      </w:r>
      <w:proofErr w:type="spellStart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Nonidet</w:t>
      </w:r>
      <w:proofErr w:type="spellEnd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P-40) containing 50mM b-</w:t>
      </w:r>
      <w:proofErr w:type="spellStart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glycerophosphate</w:t>
      </w:r>
      <w:proofErr w:type="spellEnd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, 10mM </w:t>
      </w:r>
      <w:proofErr w:type="spellStart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NaF</w:t>
      </w:r>
      <w:proofErr w:type="spellEnd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, and 1 mg/ml each of </w:t>
      </w:r>
      <w:proofErr w:type="spellStart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pepstatin</w:t>
      </w:r>
      <w:proofErr w:type="spellEnd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A and </w:t>
      </w:r>
      <w:proofErr w:type="spellStart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aprotinin</w:t>
      </w:r>
      <w:proofErr w:type="spellEnd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. Whole cell lysates were pulse-sonicated and obtained by centrifugation.  Whole cell lysates were incubated with 2 µg of antibody and protein A or protein G </w:t>
      </w:r>
      <w:proofErr w:type="spellStart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Sepharose</w:t>
      </w:r>
      <w:proofErr w:type="spellEnd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beads (</w:t>
      </w:r>
      <w:proofErr w:type="spellStart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Amersham</w:t>
      </w:r>
      <w:proofErr w:type="spellEnd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Biosciences) for 2 </w:t>
      </w:r>
      <w:proofErr w:type="spellStart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hr</w:t>
      </w:r>
      <w:proofErr w:type="spellEnd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or overnight at 4°C. </w:t>
      </w:r>
      <w:proofErr w:type="spellStart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Theimmunocomplexes</w:t>
      </w:r>
      <w:proofErr w:type="spellEnd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were then washed with NETN buffer for three times and separated by SDS–PAGE. Immunoblotting was performed following standard procedures. GST fusion proteins were bound to glutathione-</w:t>
      </w:r>
      <w:proofErr w:type="spellStart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Sepharose</w:t>
      </w:r>
      <w:proofErr w:type="spellEnd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overnight at 4 °C. The beads were washed with PBS four times and incubated with cell lysates for </w:t>
      </w:r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 w:eastAsia="zh-CN"/>
        </w:rPr>
        <w:t>1</w:t>
      </w:r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 h at 4 °C. After washing with NETN for </w:t>
      </w:r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lastRenderedPageBreak/>
        <w:t xml:space="preserve">three times, the bound proteins were separated by SDS-PAGE and </w:t>
      </w:r>
      <w:proofErr w:type="spellStart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immunoblotted</w:t>
      </w:r>
      <w:proofErr w:type="spellEnd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with indicated antibodies.</w:t>
      </w:r>
    </w:p>
    <w:p w:rsidR="00EA7A2E" w:rsidRPr="007940D1" w:rsidRDefault="00EA7A2E" w:rsidP="00EA7A2E">
      <w:pPr>
        <w:shd w:val="clear" w:color="auto" w:fill="FFFFFF"/>
        <w:spacing w:before="240" w:line="480" w:lineRule="auto"/>
        <w:jc w:val="both"/>
        <w:outlineLvl w:val="3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"/>
        </w:rPr>
      </w:pPr>
      <w:r w:rsidRPr="007940D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"/>
        </w:rPr>
        <w:t>Immunofluorescence staining</w:t>
      </w:r>
    </w:p>
    <w:p w:rsidR="00EA7A2E" w:rsidRDefault="00EA7A2E" w:rsidP="00EA7A2E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Cells grown on coverslips were fixed in 4% paraformaldehyde for 15 min at RT. Slides were washed  in phosphate-buffered saline and blocked with 5% goat serum for 1hr at room temperature, then incubated with </w:t>
      </w:r>
      <w:r w:rsidRPr="007940D1">
        <w:rPr>
          <w:rFonts w:ascii="Times New Roman" w:hAnsi="Times New Roman" w:cs="Times New Roman"/>
          <w:color w:val="333333"/>
          <w:sz w:val="24"/>
          <w:szCs w:val="24"/>
          <w:lang w:val="en"/>
        </w:rPr>
        <w:t>primary antibody mouse anti-</w:t>
      </w:r>
      <w:proofErr w:type="spellStart"/>
      <w:r w:rsidRPr="007940D1">
        <w:rPr>
          <w:rFonts w:ascii="Times New Roman" w:hAnsi="Times New Roman" w:cs="Times New Roman"/>
          <w:color w:val="333333"/>
          <w:sz w:val="24"/>
          <w:szCs w:val="24"/>
          <w:lang w:val="en"/>
        </w:rPr>
        <w:t>Akt</w:t>
      </w:r>
      <w:proofErr w:type="spellEnd"/>
      <w:r w:rsidRPr="007940D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(Cell signaling ) and rabbit anti-HEATR1 </w:t>
      </w:r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at 37 °C for 30 min. After washing with PBS twice, cells were incubated with FITC or </w:t>
      </w:r>
      <w:proofErr w:type="spellStart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rhodamine</w:t>
      </w:r>
      <w:proofErr w:type="spellEnd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-conjugated secondary antibodies at 37 °C for 30 min. Nuclei were counterstained with 4'6-diamidino-2-phenylindole (DAPI). After a final wash with PBS, coverslips were mounted with glycerin containing </w:t>
      </w:r>
      <w:proofErr w:type="spellStart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>paraphenylenediamine</w:t>
      </w:r>
      <w:proofErr w:type="spellEnd"/>
      <w:r w:rsidRPr="007940D1">
        <w:rPr>
          <w:rFonts w:ascii="Times New Roman" w:eastAsia="SimSun" w:hAnsi="Times New Roman" w:cs="Times New Roman"/>
          <w:color w:val="000000"/>
          <w:sz w:val="24"/>
          <w:szCs w:val="24"/>
          <w:lang w:val="en"/>
        </w:rPr>
        <w:t xml:space="preserve"> and </w:t>
      </w:r>
      <w:r w:rsidRPr="007940D1">
        <w:rPr>
          <w:rFonts w:ascii="Times New Roman" w:hAnsi="Times New Roman" w:cs="Times New Roman"/>
          <w:color w:val="2E2E2E"/>
          <w:sz w:val="24"/>
          <w:szCs w:val="24"/>
        </w:rPr>
        <w:t>examined using a confocal microscopy.</w:t>
      </w:r>
    </w:p>
    <w:p w:rsidR="00DF5153" w:rsidRDefault="00DF5153" w:rsidP="00836ACF">
      <w:pPr>
        <w:spacing w:line="48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85949" w:rsidRDefault="00785949" w:rsidP="00836ACF">
      <w:pPr>
        <w:spacing w:line="48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0065D">
        <w:rPr>
          <w:rFonts w:ascii="Times New Roman" w:hAnsi="Times New Roman" w:cs="Times New Roman"/>
          <w:b/>
          <w:caps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TABLES</w:t>
      </w:r>
    </w:p>
    <w:p w:rsidR="00785949" w:rsidRPr="00F709C0" w:rsidRDefault="00785949" w:rsidP="00785949">
      <w:pPr>
        <w:rPr>
          <w:rFonts w:ascii="Times New Roman" w:hAnsi="Times New Roman" w:cs="Times New Roman"/>
          <w:b/>
          <w:sz w:val="24"/>
          <w:szCs w:val="24"/>
        </w:rPr>
      </w:pPr>
      <w:r w:rsidRPr="00F709C0">
        <w:rPr>
          <w:rFonts w:ascii="Times New Roman" w:hAnsi="Times New Roman" w:cs="Times New Roman"/>
          <w:b/>
          <w:sz w:val="24"/>
          <w:szCs w:val="24"/>
        </w:rPr>
        <w:t>Supplementary Table 1         Total survival of pancreatic cancer patients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4343"/>
        <w:gridCol w:w="1517"/>
        <w:gridCol w:w="1015"/>
        <w:gridCol w:w="1320"/>
        <w:gridCol w:w="1381"/>
      </w:tblGrid>
      <w:tr w:rsidR="00785949" w:rsidRPr="00C730DC" w:rsidTr="000A7080">
        <w:trPr>
          <w:trHeight w:val="412"/>
        </w:trPr>
        <w:tc>
          <w:tcPr>
            <w:tcW w:w="5000" w:type="pct"/>
            <w:gridSpan w:val="5"/>
            <w:tcBorders>
              <w:top w:val="single" w:sz="8" w:space="0" w:color="auto"/>
            </w:tcBorders>
            <w:shd w:val="clear" w:color="auto" w:fill="auto"/>
          </w:tcPr>
          <w:p w:rsidR="00785949" w:rsidRPr="00F709C0" w:rsidRDefault="00785949" w:rsidP="000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 xml:space="preserve">HEATR1               Patient number      Patients of Events </w:t>
            </w:r>
            <w:r w:rsidR="007F6D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 xml:space="preserve">      Censored </w:t>
            </w:r>
          </w:p>
          <w:p w:rsidR="00785949" w:rsidRPr="00B415A8" w:rsidRDefault="00785949" w:rsidP="007F6D5A">
            <w:pPr>
              <w:rPr>
                <w:sz w:val="18"/>
                <w:szCs w:val="18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7F6D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F6D5A" w:rsidRPr="00F709C0">
              <w:rPr>
                <w:rFonts w:ascii="Times New Roman" w:hAnsi="Times New Roman" w:cs="Times New Roman"/>
                <w:sz w:val="24"/>
                <w:szCs w:val="24"/>
              </w:rPr>
              <w:t xml:space="preserve">Death </w:t>
            </w:r>
            <w:r w:rsidR="007F6D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 xml:space="preserve"> Alive       </w:t>
            </w:r>
            <w:r w:rsidR="007F6D5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 xml:space="preserve">      Percent                 </w:t>
            </w:r>
          </w:p>
        </w:tc>
      </w:tr>
      <w:tr w:rsidR="00785949" w:rsidRPr="00C730DC" w:rsidTr="000A7080">
        <w:tc>
          <w:tcPr>
            <w:tcW w:w="2268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:rsidR="00785949" w:rsidRPr="00F709C0" w:rsidRDefault="00785949" w:rsidP="000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 xml:space="preserve">Strong                         28                                         </w:t>
            </w:r>
          </w:p>
          <w:p w:rsidR="00785949" w:rsidRPr="00F709C0" w:rsidRDefault="00785949" w:rsidP="000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 xml:space="preserve">Weak                          72                </w:t>
            </w:r>
          </w:p>
          <w:p w:rsidR="00785949" w:rsidRPr="00F709C0" w:rsidRDefault="00785949" w:rsidP="000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Overall                        100</w:t>
            </w:r>
          </w:p>
        </w:tc>
        <w:tc>
          <w:tcPr>
            <w:tcW w:w="792" w:type="pct"/>
            <w:tcBorders>
              <w:top w:val="single" w:sz="8" w:space="0" w:color="auto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 xml:space="preserve">14           </w:t>
            </w:r>
          </w:p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0" w:type="pct"/>
            <w:tcBorders>
              <w:top w:val="single" w:sz="8" w:space="0" w:color="auto"/>
              <w:bottom w:val="nil"/>
            </w:tcBorders>
          </w:tcPr>
          <w:p w:rsidR="00785949" w:rsidRPr="00F709C0" w:rsidRDefault="00785949" w:rsidP="000A7080">
            <w:pPr>
              <w:ind w:righ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 xml:space="preserve">     14   13    </w:t>
            </w:r>
          </w:p>
          <w:p w:rsidR="00785949" w:rsidRPr="00F709C0" w:rsidRDefault="00785949" w:rsidP="000A7080">
            <w:pPr>
              <w:ind w:righ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85949" w:rsidRPr="00F709C0" w:rsidRDefault="00785949" w:rsidP="000A7080">
            <w:pPr>
              <w:ind w:righ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9" w:type="pct"/>
            <w:tcBorders>
              <w:top w:val="single" w:sz="8" w:space="0" w:color="auto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8" w:space="0" w:color="auto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50.0%</w:t>
            </w:r>
          </w:p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13.8%</w:t>
            </w:r>
          </w:p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24.0%</w:t>
            </w:r>
          </w:p>
        </w:tc>
      </w:tr>
      <w:tr w:rsidR="00785949" w:rsidRPr="00C730DC" w:rsidTr="000A7080">
        <w:tc>
          <w:tcPr>
            <w:tcW w:w="2268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:rsidR="00785949" w:rsidRDefault="00785949" w:rsidP="000A7080">
            <w:pPr>
              <w:rPr>
                <w:sz w:val="18"/>
                <w:szCs w:val="18"/>
              </w:rPr>
            </w:pPr>
          </w:p>
          <w:p w:rsidR="00DF5153" w:rsidRPr="00C730DC" w:rsidRDefault="00DF5153" w:rsidP="000A7080">
            <w:pPr>
              <w:rPr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8" w:space="0" w:color="auto"/>
              <w:bottom w:val="nil"/>
            </w:tcBorders>
          </w:tcPr>
          <w:p w:rsidR="00785949" w:rsidRPr="00C730DC" w:rsidRDefault="00785949" w:rsidP="000A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8" w:space="0" w:color="auto"/>
              <w:bottom w:val="nil"/>
            </w:tcBorders>
          </w:tcPr>
          <w:p w:rsidR="00785949" w:rsidRPr="00C730DC" w:rsidRDefault="00785949" w:rsidP="000A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8" w:space="0" w:color="auto"/>
              <w:bottom w:val="nil"/>
            </w:tcBorders>
          </w:tcPr>
          <w:p w:rsidR="00785949" w:rsidRPr="00C730DC" w:rsidRDefault="00785949" w:rsidP="000A7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8" w:space="0" w:color="auto"/>
              <w:bottom w:val="nil"/>
            </w:tcBorders>
          </w:tcPr>
          <w:p w:rsidR="00785949" w:rsidRPr="00C730DC" w:rsidRDefault="00785949" w:rsidP="000A70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85949" w:rsidRDefault="00785949" w:rsidP="00785949">
      <w:pPr>
        <w:rPr>
          <w:b/>
          <w:sz w:val="18"/>
          <w:szCs w:val="18"/>
        </w:rPr>
      </w:pPr>
    </w:p>
    <w:p w:rsidR="00785949" w:rsidRPr="00F709C0" w:rsidRDefault="00785949" w:rsidP="00785949">
      <w:pPr>
        <w:rPr>
          <w:rFonts w:ascii="Times New Roman" w:hAnsi="Times New Roman" w:cs="Times New Roman"/>
          <w:b/>
          <w:sz w:val="24"/>
          <w:szCs w:val="24"/>
        </w:rPr>
      </w:pPr>
      <w:r w:rsidRPr="00F709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F709C0" w:rsidRPr="00F709C0">
        <w:rPr>
          <w:rFonts w:ascii="Times New Roman" w:hAnsi="Times New Roman" w:cs="Times New Roman"/>
          <w:b/>
          <w:sz w:val="24"/>
          <w:szCs w:val="24"/>
        </w:rPr>
        <w:t>2 Relationship</w:t>
      </w:r>
      <w:r w:rsidRPr="00F709C0">
        <w:rPr>
          <w:rFonts w:ascii="Times New Roman" w:hAnsi="Times New Roman" w:cs="Times New Roman"/>
          <w:b/>
          <w:sz w:val="24"/>
          <w:szCs w:val="24"/>
        </w:rPr>
        <w:t xml:space="preserve"> between expression of </w:t>
      </w:r>
      <w:proofErr w:type="spellStart"/>
      <w:r w:rsidRPr="00F709C0">
        <w:rPr>
          <w:rFonts w:ascii="Times New Roman" w:hAnsi="Times New Roman" w:cs="Times New Roman"/>
          <w:b/>
          <w:sz w:val="24"/>
          <w:szCs w:val="24"/>
        </w:rPr>
        <w:t>tumoral</w:t>
      </w:r>
      <w:proofErr w:type="spellEnd"/>
      <w:r w:rsidRPr="00F709C0">
        <w:rPr>
          <w:rFonts w:ascii="Times New Roman" w:hAnsi="Times New Roman" w:cs="Times New Roman"/>
          <w:b/>
          <w:sz w:val="24"/>
          <w:szCs w:val="24"/>
        </w:rPr>
        <w:t xml:space="preserve"> HEATR1 &amp; </w:t>
      </w:r>
      <w:proofErr w:type="spellStart"/>
      <w:r w:rsidRPr="00F709C0">
        <w:rPr>
          <w:rFonts w:ascii="Times New Roman" w:hAnsi="Times New Roman" w:cs="Times New Roman"/>
          <w:b/>
          <w:sz w:val="24"/>
          <w:szCs w:val="24"/>
        </w:rPr>
        <w:t>pAkt</w:t>
      </w:r>
      <w:proofErr w:type="spellEnd"/>
      <w:r w:rsidRPr="00F709C0">
        <w:rPr>
          <w:rFonts w:ascii="Times New Roman" w:hAnsi="Times New Roman" w:cs="Times New Roman"/>
          <w:b/>
          <w:sz w:val="24"/>
          <w:szCs w:val="24"/>
        </w:rPr>
        <w:t xml:space="preserve"> T308 and </w:t>
      </w:r>
      <w:proofErr w:type="spellStart"/>
      <w:r w:rsidRPr="00F709C0">
        <w:rPr>
          <w:rFonts w:ascii="Times New Roman" w:hAnsi="Times New Roman" w:cs="Times New Roman"/>
          <w:b/>
          <w:sz w:val="24"/>
          <w:szCs w:val="24"/>
        </w:rPr>
        <w:t>clinicopathological</w:t>
      </w:r>
      <w:proofErr w:type="spellEnd"/>
      <w:r w:rsidRPr="00F709C0">
        <w:rPr>
          <w:rFonts w:ascii="Times New Roman" w:hAnsi="Times New Roman" w:cs="Times New Roman"/>
          <w:b/>
          <w:sz w:val="24"/>
          <w:szCs w:val="24"/>
        </w:rPr>
        <w:t xml:space="preserve"> features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78"/>
        <w:gridCol w:w="942"/>
        <w:gridCol w:w="1005"/>
        <w:gridCol w:w="1005"/>
        <w:gridCol w:w="326"/>
        <w:gridCol w:w="1069"/>
        <w:gridCol w:w="990"/>
        <w:gridCol w:w="1061"/>
      </w:tblGrid>
      <w:tr w:rsidR="00785949" w:rsidRPr="00FC70A9" w:rsidTr="000A7080">
        <w:trPr>
          <w:trHeight w:hRule="exact" w:val="227"/>
        </w:trPr>
        <w:tc>
          <w:tcPr>
            <w:tcW w:w="16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Clinicopathological</w:t>
            </w:r>
            <w:proofErr w:type="spellEnd"/>
            <w:r w:rsidRPr="00FC70A9">
              <w:rPr>
                <w:rFonts w:ascii="Times New Roman" w:hAnsi="Times New Roman" w:cs="Times New Roman"/>
                <w:sz w:val="20"/>
                <w:szCs w:val="20"/>
              </w:rPr>
              <w:t xml:space="preserve"> Features</w:t>
            </w:r>
          </w:p>
        </w:tc>
        <w:tc>
          <w:tcPr>
            <w:tcW w:w="154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Tumoral</w:t>
            </w:r>
            <w:proofErr w:type="spellEnd"/>
            <w:r w:rsidRPr="00FC70A9">
              <w:rPr>
                <w:rFonts w:ascii="Times New Roman" w:hAnsi="Times New Roman" w:cs="Times New Roman"/>
                <w:sz w:val="20"/>
                <w:szCs w:val="20"/>
              </w:rPr>
              <w:t xml:space="preserve"> expression of HEATR1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Tumoral</w:t>
            </w:r>
            <w:proofErr w:type="spellEnd"/>
            <w:r w:rsidRPr="00FC70A9">
              <w:rPr>
                <w:rFonts w:ascii="Times New Roman" w:hAnsi="Times New Roman" w:cs="Times New Roman"/>
                <w:sz w:val="20"/>
                <w:szCs w:val="20"/>
              </w:rPr>
              <w:t xml:space="preserve"> expression of </w:t>
            </w:r>
            <w:proofErr w:type="spellStart"/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pAkt</w:t>
            </w:r>
            <w:proofErr w:type="spellEnd"/>
            <w:r w:rsidRPr="00FC70A9">
              <w:rPr>
                <w:rFonts w:ascii="Times New Roman" w:hAnsi="Times New Roman" w:cs="Times New Roman"/>
                <w:sz w:val="20"/>
                <w:szCs w:val="20"/>
              </w:rPr>
              <w:t xml:space="preserve"> T308</w:t>
            </w: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Low.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High.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gramStart"/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Age, years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0.229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0.422</w:t>
            </w: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FC70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&lt;60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FC70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&gt;=60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FC70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FC70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Tumor location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0.812</w:t>
            </w: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FC70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Head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FC70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distal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Differentiation level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0.579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0.423</w:t>
            </w: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FC70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FC70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Lymph node metastasis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0.688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FC70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FC70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Neural invasion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0.592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FC70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FC70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Vascular metastasis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0.505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0.505</w:t>
            </w: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FC70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FC70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TNM staging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0.583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FC70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785949" w:rsidRPr="00FC70A9" w:rsidRDefault="00785949" w:rsidP="00FC70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FC70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  <w:p w:rsidR="00785949" w:rsidRPr="00FC70A9" w:rsidRDefault="00785949" w:rsidP="00FC70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949" w:rsidRPr="00FC70A9" w:rsidRDefault="00785949" w:rsidP="00FC70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949" w:rsidRPr="00FC70A9" w:rsidRDefault="00785949" w:rsidP="00FC70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949" w:rsidRPr="00FC70A9" w:rsidTr="000A7080">
        <w:trPr>
          <w:trHeight w:hRule="exact" w:val="227"/>
        </w:trPr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FC70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IIB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5949" w:rsidRPr="00FC70A9" w:rsidRDefault="00785949" w:rsidP="000A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949" w:rsidRPr="00FC70A9" w:rsidRDefault="00785949" w:rsidP="00785949">
      <w:pPr>
        <w:rPr>
          <w:b/>
          <w:sz w:val="20"/>
          <w:szCs w:val="20"/>
        </w:rPr>
      </w:pPr>
    </w:p>
    <w:p w:rsidR="00785949" w:rsidRPr="00F709C0" w:rsidRDefault="00785949" w:rsidP="00785949">
      <w:pPr>
        <w:rPr>
          <w:rFonts w:ascii="Times New Roman" w:hAnsi="Times New Roman" w:cs="Times New Roman"/>
          <w:b/>
          <w:sz w:val="24"/>
          <w:szCs w:val="24"/>
        </w:rPr>
      </w:pPr>
      <w:r w:rsidRPr="00FC70A9">
        <w:rPr>
          <w:b/>
          <w:sz w:val="20"/>
          <w:szCs w:val="20"/>
        </w:rPr>
        <w:br w:type="page"/>
      </w:r>
      <w:r w:rsidRPr="00F709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3 Univariate and multivariate analyses of factors associated with survival 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4343"/>
        <w:gridCol w:w="1517"/>
        <w:gridCol w:w="1015"/>
        <w:gridCol w:w="1320"/>
        <w:gridCol w:w="1381"/>
      </w:tblGrid>
      <w:tr w:rsidR="00785949" w:rsidRPr="00F709C0" w:rsidTr="000A7080">
        <w:trPr>
          <w:trHeight w:val="286"/>
        </w:trPr>
        <w:tc>
          <w:tcPr>
            <w:tcW w:w="2268" w:type="pct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2732" w:type="pct"/>
            <w:gridSpan w:val="4"/>
            <w:tcBorders>
              <w:top w:val="single" w:sz="8" w:space="0" w:color="auto"/>
              <w:bottom w:val="single" w:sz="6" w:space="0" w:color="auto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</w:tr>
      <w:tr w:rsidR="00785949" w:rsidRPr="00F709C0" w:rsidTr="000A7080">
        <w:trPr>
          <w:trHeight w:val="307"/>
        </w:trPr>
        <w:tc>
          <w:tcPr>
            <w:tcW w:w="2268" w:type="pct"/>
            <w:vMerge/>
            <w:shd w:val="clear" w:color="auto" w:fill="auto"/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 w:val="restart"/>
            <w:tcBorders>
              <w:top w:val="single" w:sz="6" w:space="0" w:color="auto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Univariate</w:t>
            </w:r>
          </w:p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Multivariate</w:t>
            </w:r>
          </w:p>
        </w:tc>
      </w:tr>
      <w:tr w:rsidR="00785949" w:rsidRPr="00F709C0" w:rsidTr="000A7080">
        <w:trPr>
          <w:trHeight w:val="498"/>
        </w:trPr>
        <w:tc>
          <w:tcPr>
            <w:tcW w:w="2268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bottom w:val="single" w:sz="8" w:space="0" w:color="auto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bottom w:val="single" w:sz="8" w:space="0" w:color="auto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Hazard</w:t>
            </w:r>
          </w:p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Ratio</w:t>
            </w:r>
          </w:p>
        </w:tc>
        <w:tc>
          <w:tcPr>
            <w:tcW w:w="689" w:type="pct"/>
            <w:tcBorders>
              <w:top w:val="single" w:sz="6" w:space="0" w:color="auto"/>
              <w:bottom w:val="single" w:sz="8" w:space="0" w:color="auto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8" w:space="0" w:color="auto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785949" w:rsidRPr="00F709C0" w:rsidTr="000A7080">
        <w:tc>
          <w:tcPr>
            <w:tcW w:w="2268" w:type="pct"/>
            <w:tcBorders>
              <w:top w:val="single" w:sz="8" w:space="0" w:color="auto"/>
              <w:bottom w:val="nil"/>
            </w:tcBorders>
            <w:shd w:val="clear" w:color="auto" w:fill="auto"/>
          </w:tcPr>
          <w:p w:rsidR="00785949" w:rsidRPr="00F709C0" w:rsidRDefault="00785949" w:rsidP="000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Age, y (&gt;=60 vs &lt;60)</w:t>
            </w:r>
          </w:p>
        </w:tc>
        <w:tc>
          <w:tcPr>
            <w:tcW w:w="792" w:type="pct"/>
            <w:tcBorders>
              <w:top w:val="single" w:sz="8" w:space="0" w:color="auto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0.301</w:t>
            </w:r>
          </w:p>
        </w:tc>
        <w:tc>
          <w:tcPr>
            <w:tcW w:w="530" w:type="pct"/>
            <w:tcBorders>
              <w:top w:val="single" w:sz="8" w:space="0" w:color="auto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8" w:space="0" w:color="auto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8" w:space="0" w:color="auto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785949" w:rsidRPr="00F709C0" w:rsidTr="000A7080">
        <w:trPr>
          <w:trHeight w:val="213"/>
        </w:trPr>
        <w:tc>
          <w:tcPr>
            <w:tcW w:w="2268" w:type="pct"/>
            <w:tcBorders>
              <w:top w:val="nil"/>
              <w:bottom w:val="nil"/>
            </w:tcBorders>
            <w:shd w:val="clear" w:color="auto" w:fill="auto"/>
          </w:tcPr>
          <w:p w:rsidR="00785949" w:rsidRPr="00F709C0" w:rsidRDefault="00785949" w:rsidP="000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Gender (female vs male)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530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785949" w:rsidRPr="00F709C0" w:rsidTr="000A7080">
        <w:tc>
          <w:tcPr>
            <w:tcW w:w="2268" w:type="pct"/>
            <w:tcBorders>
              <w:top w:val="nil"/>
              <w:bottom w:val="nil"/>
            </w:tcBorders>
            <w:shd w:val="clear" w:color="auto" w:fill="auto"/>
          </w:tcPr>
          <w:p w:rsidR="00785949" w:rsidRPr="00F709C0" w:rsidRDefault="00785949" w:rsidP="000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Tumor location(head vs distal)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530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785949" w:rsidRPr="00F709C0" w:rsidTr="000A7080">
        <w:tc>
          <w:tcPr>
            <w:tcW w:w="2268" w:type="pct"/>
            <w:tcBorders>
              <w:top w:val="nil"/>
              <w:bottom w:val="nil"/>
            </w:tcBorders>
            <w:shd w:val="clear" w:color="auto" w:fill="auto"/>
          </w:tcPr>
          <w:p w:rsidR="00785949" w:rsidRPr="00F709C0" w:rsidRDefault="00785949" w:rsidP="000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Differentiaion</w:t>
            </w:r>
            <w:proofErr w:type="spellEnd"/>
            <w:r w:rsidRPr="00F709C0">
              <w:rPr>
                <w:rFonts w:ascii="Times New Roman" w:hAnsi="Times New Roman" w:cs="Times New Roman"/>
                <w:sz w:val="24"/>
                <w:szCs w:val="24"/>
              </w:rPr>
              <w:t xml:space="preserve"> level(high vs low)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0.162</w:t>
            </w:r>
          </w:p>
        </w:tc>
        <w:tc>
          <w:tcPr>
            <w:tcW w:w="530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785949" w:rsidRPr="00F709C0" w:rsidTr="000A7080">
        <w:tc>
          <w:tcPr>
            <w:tcW w:w="2268" w:type="pct"/>
            <w:tcBorders>
              <w:top w:val="nil"/>
              <w:bottom w:val="nil"/>
            </w:tcBorders>
            <w:shd w:val="clear" w:color="auto" w:fill="auto"/>
          </w:tcPr>
          <w:p w:rsidR="00785949" w:rsidRPr="00F709C0" w:rsidRDefault="00785949" w:rsidP="000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Lymph node metastasis (yes vs no)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530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785949" w:rsidRPr="00F709C0" w:rsidTr="000A7080">
        <w:tc>
          <w:tcPr>
            <w:tcW w:w="2268" w:type="pct"/>
            <w:tcBorders>
              <w:top w:val="nil"/>
              <w:bottom w:val="nil"/>
            </w:tcBorders>
            <w:shd w:val="clear" w:color="auto" w:fill="auto"/>
          </w:tcPr>
          <w:p w:rsidR="00785949" w:rsidRPr="00F709C0" w:rsidRDefault="00785949" w:rsidP="000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Neural invasion (yes vs no)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530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785949" w:rsidRPr="00F709C0" w:rsidTr="000A7080">
        <w:tc>
          <w:tcPr>
            <w:tcW w:w="2268" w:type="pct"/>
            <w:tcBorders>
              <w:top w:val="nil"/>
              <w:bottom w:val="nil"/>
            </w:tcBorders>
            <w:shd w:val="clear" w:color="auto" w:fill="auto"/>
          </w:tcPr>
          <w:p w:rsidR="00785949" w:rsidRPr="00F709C0" w:rsidRDefault="00785949" w:rsidP="000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Vascular metastasis (yes vs no)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0.369</w:t>
            </w:r>
          </w:p>
        </w:tc>
        <w:tc>
          <w:tcPr>
            <w:tcW w:w="530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785949" w:rsidRPr="00F709C0" w:rsidTr="000A7080">
        <w:tc>
          <w:tcPr>
            <w:tcW w:w="2268" w:type="pct"/>
            <w:tcBorders>
              <w:top w:val="nil"/>
              <w:bottom w:val="nil"/>
            </w:tcBorders>
            <w:shd w:val="clear" w:color="auto" w:fill="auto"/>
          </w:tcPr>
          <w:p w:rsidR="00785949" w:rsidRPr="00F709C0" w:rsidRDefault="00785949" w:rsidP="000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TNM staging (I, IIA,IIB)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530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785949" w:rsidRPr="00F709C0" w:rsidTr="000A7080">
        <w:tc>
          <w:tcPr>
            <w:tcW w:w="2268" w:type="pct"/>
            <w:tcBorders>
              <w:top w:val="nil"/>
              <w:bottom w:val="nil"/>
            </w:tcBorders>
            <w:shd w:val="clear" w:color="auto" w:fill="auto"/>
          </w:tcPr>
          <w:p w:rsidR="00785949" w:rsidRPr="00F709C0" w:rsidRDefault="00785949" w:rsidP="000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HEATR1 expression in tumor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530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0.549</w:t>
            </w:r>
          </w:p>
        </w:tc>
        <w:tc>
          <w:tcPr>
            <w:tcW w:w="689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0.339-0.887</w:t>
            </w:r>
          </w:p>
        </w:tc>
        <w:tc>
          <w:tcPr>
            <w:tcW w:w="721" w:type="pct"/>
            <w:tcBorders>
              <w:top w:val="nil"/>
              <w:bottom w:val="nil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785949" w:rsidRPr="00F709C0" w:rsidTr="000A7080">
        <w:tc>
          <w:tcPr>
            <w:tcW w:w="2268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85949" w:rsidRPr="00F709C0" w:rsidRDefault="00785949" w:rsidP="000A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pAkt</w:t>
            </w:r>
            <w:proofErr w:type="spellEnd"/>
            <w:r w:rsidRPr="00F709C0">
              <w:rPr>
                <w:rFonts w:ascii="Times New Roman" w:hAnsi="Times New Roman" w:cs="Times New Roman"/>
                <w:sz w:val="24"/>
                <w:szCs w:val="24"/>
              </w:rPr>
              <w:t xml:space="preserve"> T308 expression in tumor</w:t>
            </w:r>
          </w:p>
        </w:tc>
        <w:tc>
          <w:tcPr>
            <w:tcW w:w="792" w:type="pct"/>
            <w:tcBorders>
              <w:top w:val="nil"/>
              <w:bottom w:val="single" w:sz="8" w:space="0" w:color="auto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530" w:type="pct"/>
            <w:tcBorders>
              <w:top w:val="nil"/>
              <w:bottom w:val="single" w:sz="8" w:space="0" w:color="auto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6.379</w:t>
            </w:r>
          </w:p>
        </w:tc>
        <w:tc>
          <w:tcPr>
            <w:tcW w:w="689" w:type="pct"/>
            <w:tcBorders>
              <w:top w:val="nil"/>
              <w:bottom w:val="single" w:sz="8" w:space="0" w:color="auto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3.605-11.288</w:t>
            </w:r>
          </w:p>
        </w:tc>
        <w:tc>
          <w:tcPr>
            <w:tcW w:w="721" w:type="pct"/>
            <w:tcBorders>
              <w:top w:val="nil"/>
              <w:bottom w:val="single" w:sz="8" w:space="0" w:color="auto"/>
            </w:tcBorders>
          </w:tcPr>
          <w:p w:rsidR="00785949" w:rsidRPr="00F709C0" w:rsidRDefault="00785949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0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</w:tbl>
    <w:p w:rsidR="00785949" w:rsidRPr="00F709C0" w:rsidRDefault="00785949" w:rsidP="00785949">
      <w:pPr>
        <w:rPr>
          <w:rFonts w:ascii="Times New Roman" w:hAnsi="Times New Roman" w:cs="Times New Roman"/>
          <w:sz w:val="24"/>
          <w:szCs w:val="24"/>
        </w:rPr>
      </w:pPr>
      <w:r w:rsidRPr="00F709C0">
        <w:rPr>
          <w:rFonts w:ascii="Times New Roman" w:hAnsi="Times New Roman" w:cs="Times New Roman"/>
          <w:sz w:val="24"/>
          <w:szCs w:val="24"/>
        </w:rPr>
        <w:t>（</w:t>
      </w:r>
      <w:r w:rsidRPr="00F709C0">
        <w:rPr>
          <w:rFonts w:ascii="Times New Roman" w:hAnsi="Times New Roman" w:cs="Times New Roman"/>
          <w:sz w:val="24"/>
          <w:szCs w:val="24"/>
        </w:rPr>
        <w:t>OS, overall survival; NA, not adopted; NS, not significant</w:t>
      </w:r>
      <w:r w:rsidRPr="00F709C0">
        <w:rPr>
          <w:rFonts w:ascii="Times New Roman" w:hAnsi="Times New Roman" w:cs="Times New Roman"/>
          <w:sz w:val="24"/>
          <w:szCs w:val="24"/>
        </w:rPr>
        <w:t>）</w:t>
      </w:r>
      <w:r w:rsidRPr="00F70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49" w:rsidRPr="00F709C0" w:rsidRDefault="00785949" w:rsidP="00785949">
      <w:pPr>
        <w:rPr>
          <w:rFonts w:ascii="Times New Roman" w:hAnsi="Times New Roman" w:cs="Times New Roman"/>
          <w:sz w:val="24"/>
          <w:szCs w:val="24"/>
        </w:rPr>
      </w:pPr>
    </w:p>
    <w:p w:rsidR="00785949" w:rsidRPr="00F709C0" w:rsidRDefault="00785949" w:rsidP="00785949">
      <w:pPr>
        <w:rPr>
          <w:rFonts w:ascii="Times New Roman" w:hAnsi="Times New Roman" w:cs="Times New Roman"/>
          <w:sz w:val="24"/>
          <w:szCs w:val="24"/>
        </w:rPr>
      </w:pPr>
    </w:p>
    <w:p w:rsidR="00785949" w:rsidRPr="00C730DC" w:rsidRDefault="00785949" w:rsidP="00785949">
      <w:pPr>
        <w:rPr>
          <w:szCs w:val="21"/>
        </w:rPr>
      </w:pPr>
    </w:p>
    <w:p w:rsidR="00785949" w:rsidRPr="00C730DC" w:rsidRDefault="00785949" w:rsidP="00785949">
      <w:pPr>
        <w:rPr>
          <w:szCs w:val="21"/>
        </w:rPr>
      </w:pPr>
    </w:p>
    <w:p w:rsidR="00785949" w:rsidRPr="00C730DC" w:rsidRDefault="00785949" w:rsidP="00785949">
      <w:pPr>
        <w:rPr>
          <w:szCs w:val="21"/>
        </w:rPr>
      </w:pPr>
    </w:p>
    <w:p w:rsidR="00785949" w:rsidRPr="00C730DC" w:rsidRDefault="00785949" w:rsidP="00785949">
      <w:pPr>
        <w:rPr>
          <w:szCs w:val="21"/>
        </w:rPr>
      </w:pPr>
    </w:p>
    <w:p w:rsidR="00785949" w:rsidRPr="00C730DC" w:rsidRDefault="00785949" w:rsidP="00785949">
      <w:pPr>
        <w:rPr>
          <w:szCs w:val="21"/>
        </w:rPr>
      </w:pPr>
    </w:p>
    <w:p w:rsidR="00A0065D" w:rsidRDefault="00F709C0" w:rsidP="0078594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s</w:t>
      </w:r>
      <w:r w:rsidR="00A0065D" w:rsidRPr="00A0065D">
        <w:rPr>
          <w:rFonts w:ascii="Times New Roman" w:hAnsi="Times New Roman" w:cs="Times New Roman"/>
          <w:b/>
          <w:caps/>
          <w:sz w:val="24"/>
          <w:szCs w:val="24"/>
        </w:rPr>
        <w:t>UPPLEMENTAry FIGURE</w:t>
      </w:r>
      <w:r w:rsidR="00D33C0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0065D" w:rsidRPr="00A0065D">
        <w:rPr>
          <w:rFonts w:ascii="Times New Roman" w:hAnsi="Times New Roman" w:cs="Times New Roman"/>
          <w:b/>
          <w:caps/>
          <w:sz w:val="24"/>
          <w:szCs w:val="24"/>
        </w:rPr>
        <w:t>LEGENDS</w:t>
      </w:r>
      <w:r w:rsidR="00A0065D" w:rsidRPr="00A00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CE2" w:rsidRPr="00A0065D" w:rsidRDefault="00736CE2" w:rsidP="0078594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0BC" w:rsidRPr="007940D1" w:rsidRDefault="00A0065D" w:rsidP="000640BC">
      <w:pPr>
        <w:spacing w:line="480" w:lineRule="auto"/>
        <w:rPr>
          <w:rFonts w:ascii="Times New Roman" w:hAnsi="Times New Roman" w:cs="Times New Roman"/>
          <w:color w:val="111111"/>
          <w:sz w:val="24"/>
          <w:szCs w:val="24"/>
          <w:lang w:val="en"/>
        </w:rPr>
      </w:pPr>
      <w:proofErr w:type="gramStart"/>
      <w:r w:rsidRPr="00A0065D">
        <w:rPr>
          <w:rFonts w:ascii="Times New Roman" w:hAnsi="Times New Roman" w:cs="Times New Roman"/>
          <w:b/>
          <w:sz w:val="24"/>
          <w:szCs w:val="24"/>
        </w:rPr>
        <w:t>S</w:t>
      </w:r>
      <w:r w:rsidR="00D944B4" w:rsidRPr="00A0065D">
        <w:rPr>
          <w:rFonts w:ascii="Times New Roman" w:hAnsi="Times New Roman" w:cs="Times New Roman"/>
          <w:b/>
          <w:sz w:val="24"/>
          <w:szCs w:val="24"/>
        </w:rPr>
        <w:t>upplemental Fig</w:t>
      </w:r>
      <w:r w:rsidRPr="00A0065D">
        <w:rPr>
          <w:rFonts w:ascii="Times New Roman" w:hAnsi="Times New Roman" w:cs="Times New Roman"/>
          <w:b/>
          <w:sz w:val="24"/>
          <w:szCs w:val="24"/>
        </w:rPr>
        <w:t>.S1.</w:t>
      </w:r>
      <w:proofErr w:type="gramEnd"/>
      <w:r w:rsidR="000640BC" w:rsidRPr="007940D1">
        <w:rPr>
          <w:rFonts w:ascii="Times New Roman" w:hAnsi="Times New Roman" w:cs="Times New Roman"/>
          <w:sz w:val="24"/>
          <w:szCs w:val="24"/>
        </w:rPr>
        <w:t xml:space="preserve"> </w:t>
      </w:r>
      <w:r w:rsidR="000640BC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HEATR1 regulates cancer cell response to chemotherapy</w:t>
      </w:r>
    </w:p>
    <w:p w:rsidR="000640BC" w:rsidRDefault="000640BC" w:rsidP="000640BC">
      <w:pPr>
        <w:spacing w:line="48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val="en"/>
        </w:rPr>
      </w:pPr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(A) PANC-1 and ASPC-1 cells stably expressing control or HEATR1 </w:t>
      </w:r>
      <w:proofErr w:type="spellStart"/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shRNA</w:t>
      </w:r>
      <w:proofErr w:type="spellEnd"/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treated with gemcitabine. Cell survival was determined as described in Figure 1A. The data presented are mean ± SD for six independent experiments. ANOVA analysis was performed.  </w:t>
      </w:r>
      <w:proofErr w:type="gramStart"/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+P&lt;0.05, ++ P&lt;0.01 (Ctrl vs HEATR1 </w:t>
      </w:r>
      <w:proofErr w:type="spellStart"/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shRNA</w:t>
      </w:r>
      <w:proofErr w:type="spellEnd"/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#1) *P&lt;0.05, ** P&lt;0.01 (Ctrl vs HEATR1 </w:t>
      </w:r>
      <w:proofErr w:type="spellStart"/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shRNA</w:t>
      </w:r>
      <w:proofErr w:type="spellEnd"/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#2).</w:t>
      </w:r>
      <w:proofErr w:type="gramEnd"/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(B) PANC-1 and ASPC-1 cells were transfected with control or HEATR1 siRNA and then treated with the indicated drugs. Cell survival was determined as described in A. The data presented are mean ± SD for six independent experiments. ANOVA analysis was performed.  +P&lt;0.05, ++ P&lt;0.01 (Ctrl vs HEATR1 KD)</w:t>
      </w:r>
    </w:p>
    <w:p w:rsidR="00635865" w:rsidRPr="007940D1" w:rsidRDefault="00A0065D" w:rsidP="006358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065D">
        <w:rPr>
          <w:rFonts w:ascii="Times New Roman" w:hAnsi="Times New Roman" w:cs="Times New Roman"/>
          <w:b/>
          <w:sz w:val="24"/>
          <w:szCs w:val="24"/>
        </w:rPr>
        <w:t>Supplemental Fig.S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0065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HEATR1 regulates cancer cell response to chemotherapy</w:t>
      </w:r>
      <w:r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and cell growth</w:t>
      </w:r>
    </w:p>
    <w:p w:rsidR="00635865" w:rsidRDefault="00635865" w:rsidP="006358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(A) SU86.86 cells stably expressing control or HEATR1 </w:t>
      </w:r>
      <w:proofErr w:type="spellStart"/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shRNA</w:t>
      </w:r>
      <w:proofErr w:type="spellEnd"/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treated with gemcitabine (10µM). Cell lysate were collect at 48 hours and western blotting was performed with indicated antibodies. (B) Cells stably expressing control or HEATR1 </w:t>
      </w:r>
      <w:proofErr w:type="spellStart"/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shRNA</w:t>
      </w:r>
      <w:proofErr w:type="spellEnd"/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</w:t>
      </w:r>
      <w:r w:rsidRPr="007940D1">
        <w:rPr>
          <w:rFonts w:ascii="Times New Roman" w:hAnsi="Times New Roman" w:cs="Times New Roman"/>
          <w:sz w:val="24"/>
          <w:szCs w:val="24"/>
        </w:rPr>
        <w:t>were seeded in each well (5x10</w:t>
      </w:r>
      <w:r w:rsidRPr="007940D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940D1">
        <w:rPr>
          <w:rFonts w:ascii="Times New Roman" w:hAnsi="Times New Roman" w:cs="Times New Roman"/>
          <w:sz w:val="24"/>
          <w:szCs w:val="24"/>
        </w:rPr>
        <w:t>/well) and cell numbers were counted every 24 hour. Data are represented as the mean ± SD of four independent experiments.</w:t>
      </w:r>
    </w:p>
    <w:p w:rsidR="00A0065D" w:rsidRDefault="00A0065D" w:rsidP="00A0065D">
      <w:pPr>
        <w:autoSpaceDE w:val="0"/>
        <w:autoSpaceDN w:val="0"/>
        <w:adjustRightInd w:val="0"/>
        <w:spacing w:line="480" w:lineRule="auto"/>
        <w:jc w:val="both"/>
        <w:rPr>
          <w:color w:val="111111"/>
          <w:lang w:val="en"/>
        </w:rPr>
      </w:pPr>
      <w:proofErr w:type="gramStart"/>
      <w:r w:rsidRPr="00A0065D">
        <w:rPr>
          <w:rFonts w:ascii="Times New Roman" w:hAnsi="Times New Roman" w:cs="Times New Roman"/>
          <w:b/>
          <w:sz w:val="24"/>
          <w:szCs w:val="24"/>
        </w:rPr>
        <w:t>Supplemental Fig.S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0065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</w:t>
      </w:r>
      <w:r w:rsidRPr="00A0065D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HEATR1 </w:t>
      </w:r>
      <w:proofErr w:type="spellStart"/>
      <w:r w:rsidR="00723EE5">
        <w:rPr>
          <w:rFonts w:ascii="Times New Roman" w:hAnsi="Times New Roman" w:cs="Times New Roman"/>
          <w:color w:val="111111"/>
          <w:sz w:val="24"/>
          <w:szCs w:val="24"/>
          <w:lang w:val="en"/>
        </w:rPr>
        <w:t>colocalized</w:t>
      </w:r>
      <w:proofErr w:type="spellEnd"/>
      <w:r w:rsidR="00723EE5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with </w:t>
      </w:r>
      <w:proofErr w:type="spellStart"/>
      <w:r w:rsidR="00723EE5">
        <w:rPr>
          <w:rFonts w:ascii="Times New Roman" w:hAnsi="Times New Roman" w:cs="Times New Roman"/>
          <w:color w:val="111111"/>
          <w:sz w:val="24"/>
          <w:szCs w:val="24"/>
          <w:lang w:val="en"/>
        </w:rPr>
        <w:t>Akt</w:t>
      </w:r>
      <w:proofErr w:type="spellEnd"/>
      <w:r w:rsidR="00723EE5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and </w:t>
      </w:r>
      <w:r w:rsidRPr="00A0065D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regulates </w:t>
      </w:r>
      <w:proofErr w:type="spellStart"/>
      <w:r w:rsidRPr="00A0065D">
        <w:rPr>
          <w:rFonts w:ascii="Times New Roman" w:hAnsi="Times New Roman" w:cs="Times New Roman"/>
          <w:color w:val="111111"/>
          <w:sz w:val="24"/>
          <w:szCs w:val="24"/>
          <w:lang w:val="en"/>
        </w:rPr>
        <w:t>Akt</w:t>
      </w:r>
      <w:proofErr w:type="spellEnd"/>
      <w:r w:rsidRPr="00A0065D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phosphorylation independent of PDK1</w:t>
      </w:r>
    </w:p>
    <w:p w:rsidR="00081974" w:rsidRPr="007940D1" w:rsidRDefault="00081974" w:rsidP="008B610B">
      <w:pPr>
        <w:spacing w:line="480" w:lineRule="auto"/>
        <w:rPr>
          <w:rFonts w:ascii="Times New Roman" w:hAnsi="Times New Roman" w:cs="Times New Roman"/>
          <w:color w:val="111111"/>
          <w:sz w:val="24"/>
          <w:szCs w:val="24"/>
          <w:lang w:val="en"/>
        </w:rPr>
      </w:pPr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(A)</w:t>
      </w:r>
      <w:r w:rsidR="00723EE5" w:rsidRPr="00723EE5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</w:t>
      </w:r>
      <w:r w:rsidR="00723EE5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Intracellular co-localization of HEATR1 and AKT were observed by using confocal microscopy in Su86.86, PANC-1 and ASPC-1 cells.</w:t>
      </w:r>
      <w:r w:rsidR="00723EE5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</w:t>
      </w:r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(B</w:t>
      </w:r>
      <w:r w:rsidR="00B1185C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)</w:t>
      </w:r>
      <w:r w:rsidR="00723EE5" w:rsidRPr="00723EE5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</w:t>
      </w:r>
      <w:r w:rsidR="00723EE5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Cell lysates were subjected to </w:t>
      </w:r>
      <w:proofErr w:type="spellStart"/>
      <w:r w:rsidR="00723EE5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lastRenderedPageBreak/>
        <w:t>immunoprecipitation</w:t>
      </w:r>
      <w:proofErr w:type="spellEnd"/>
      <w:r w:rsidR="00723EE5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with control IgG or anti-HEATR1 antibodies. The </w:t>
      </w:r>
      <w:proofErr w:type="spellStart"/>
      <w:r w:rsidR="00723EE5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immunoprecipitates</w:t>
      </w:r>
      <w:proofErr w:type="spellEnd"/>
      <w:r w:rsidR="00723EE5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were then blotted with indicated antibodies.</w:t>
      </w:r>
      <w:r w:rsidR="00B1185C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</w:t>
      </w:r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(C)</w:t>
      </w:r>
      <w:r w:rsidR="00723EE5" w:rsidRPr="00723EE5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</w:t>
      </w:r>
      <w:r w:rsidR="00723EE5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Cells were transfected with control or HEATR1 siRNA, and the interaction between </w:t>
      </w:r>
      <w:proofErr w:type="spellStart"/>
      <w:r w:rsidR="00723EE5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Akt</w:t>
      </w:r>
      <w:proofErr w:type="spellEnd"/>
      <w:r w:rsidR="00723EE5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and PDK1 was examined. </w:t>
      </w:r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</w:t>
      </w:r>
      <w:r w:rsidR="00635865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(D)</w:t>
      </w:r>
      <w:r w:rsidR="00723EE5" w:rsidRPr="00723EE5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</w:t>
      </w:r>
      <w:r w:rsidR="00723EE5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SU86.86 Cells transfected with control or HEATR1 siRNA were serum starved for 16 hours (0.1% serum), pretreated with DMSO or </w:t>
      </w:r>
      <w:proofErr w:type="spellStart"/>
      <w:r w:rsidR="00723EE5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okadaic</w:t>
      </w:r>
      <w:proofErr w:type="spellEnd"/>
      <w:r w:rsidR="00723EE5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acid (5nM) and then serum was added. Whole-cell lysates were harvested at indicated time and western blotting was performed with indicated antibodies.</w:t>
      </w:r>
    </w:p>
    <w:p w:rsidR="008B610B" w:rsidRPr="007940D1" w:rsidRDefault="00A0065D" w:rsidP="00A0065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val="en"/>
        </w:rPr>
      </w:pPr>
      <w:proofErr w:type="gramStart"/>
      <w:r w:rsidRPr="00A0065D">
        <w:rPr>
          <w:rFonts w:ascii="Times New Roman" w:hAnsi="Times New Roman" w:cs="Times New Roman"/>
          <w:b/>
          <w:sz w:val="24"/>
          <w:szCs w:val="24"/>
        </w:rPr>
        <w:t>Supplemental Fig.S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0065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</w:t>
      </w:r>
      <w:proofErr w:type="spellStart"/>
      <w:r w:rsidRPr="00A0065D">
        <w:rPr>
          <w:rFonts w:ascii="Times New Roman" w:hAnsi="Times New Roman" w:cs="Times New Roman"/>
          <w:color w:val="111111"/>
          <w:sz w:val="24"/>
          <w:szCs w:val="24"/>
          <w:lang w:val="en"/>
        </w:rPr>
        <w:t>Akt</w:t>
      </w:r>
      <w:proofErr w:type="spellEnd"/>
      <w:r w:rsidRPr="00A0065D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inhibitor sensitizes pancreatic tumors with HEATR1 knockdown to gemcitabine.</w:t>
      </w:r>
    </w:p>
    <w:p w:rsidR="00C777A3" w:rsidRPr="007940D1" w:rsidRDefault="001D2E46" w:rsidP="00F8759B">
      <w:pPr>
        <w:spacing w:line="48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val="en"/>
        </w:rPr>
      </w:pPr>
      <w:r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(A) </w:t>
      </w:r>
      <w:r w:rsidR="00081974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SU86</w:t>
      </w:r>
      <w:r w:rsidR="00C777A3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.86</w:t>
      </w:r>
      <w:r w:rsidR="00081974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cells were transfected with control or HEATR1 siRNA and t</w:t>
      </w:r>
      <w:r w:rsidR="00736CE2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hen treated with AKT inhibitor </w:t>
      </w:r>
      <w:proofErr w:type="spellStart"/>
      <w:r w:rsidR="00736CE2">
        <w:rPr>
          <w:rFonts w:ascii="Times New Roman" w:hAnsi="Times New Roman" w:cs="Times New Roman"/>
          <w:color w:val="111111"/>
          <w:sz w:val="24"/>
          <w:szCs w:val="24"/>
          <w:lang w:val="en"/>
        </w:rPr>
        <w:t>t</w:t>
      </w:r>
      <w:r w:rsidR="00081974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riciribine</w:t>
      </w:r>
      <w:proofErr w:type="spellEnd"/>
      <w:r w:rsidR="00081974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(TCN). Cell survival was determined as described in the Methods.</w:t>
      </w:r>
      <w:r w:rsidR="00C777A3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(B</w:t>
      </w:r>
      <w:r w:rsidR="004F0C50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-E</w:t>
      </w:r>
      <w:r w:rsidR="00C777A3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) PANC-1</w:t>
      </w:r>
      <w:r w:rsidR="00A0065D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(B-C)</w:t>
      </w:r>
      <w:r w:rsidR="004F0C50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and</w:t>
      </w:r>
      <w:r w:rsidR="00A0065D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SU</w:t>
      </w:r>
      <w:r w:rsidR="004F0C50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86.86</w:t>
      </w:r>
      <w:r w:rsidR="00A0065D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(D-E)</w:t>
      </w:r>
      <w:r w:rsidR="00C777A3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cells were transfected with control or HEATR1 siRNA and then treated with vehicle (N), </w:t>
      </w:r>
      <w:r w:rsidR="004F0C50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10µM </w:t>
      </w:r>
      <w:r w:rsidR="00C777A3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gemcitabine </w:t>
      </w:r>
      <w:r w:rsidR="004F0C50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(</w:t>
      </w:r>
      <w:r w:rsidR="00C777A3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G</w:t>
      </w:r>
      <w:r w:rsidR="004F0C50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), 10µM TCN (T) or gemcitabine plus TCN (G+T). Cell lysate were collect at 48 hours and western blotting was performed with indicated antibodies (B</w:t>
      </w:r>
      <w:proofErr w:type="gramStart"/>
      <w:r w:rsidR="004F0C50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,D</w:t>
      </w:r>
      <w:proofErr w:type="gramEnd"/>
      <w:r w:rsidR="004F0C50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).</w:t>
      </w:r>
      <w:r w:rsidR="00C777A3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</w:t>
      </w:r>
      <w:r w:rsidR="004F0C50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Percentage of Sub-G1 cells were measured by flow cytometry (C</w:t>
      </w:r>
      <w:proofErr w:type="gramStart"/>
      <w:r w:rsidR="004F0C50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,E</w:t>
      </w:r>
      <w:proofErr w:type="gramEnd"/>
      <w:r w:rsidR="004F0C50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).</w:t>
      </w:r>
      <w:r w:rsidR="00F8759B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ANOVA analysis was performed.  ++ P&lt;0.01 (Ctrl vs HEATR1 siRNA); ** P&lt;0.01 (G vs G+T)</w:t>
      </w:r>
      <w:r w:rsidR="004F0C50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 (F) Mice with subcutaneously established tumors from </w:t>
      </w:r>
      <w:r w:rsidR="00F8759B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PANC-1</w:t>
      </w:r>
      <w:r w:rsidR="004F0C50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cell stably expressing control or HEATR1 </w:t>
      </w:r>
      <w:proofErr w:type="spellStart"/>
      <w:r w:rsidR="004F0C50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shRNA</w:t>
      </w:r>
      <w:proofErr w:type="spellEnd"/>
      <w:r w:rsidR="004F0C50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were treated as in Figure 4C.  Xenograft tumors were collected and western blotting was performed with indicated antibodies. </w:t>
      </w:r>
    </w:p>
    <w:p w:rsidR="004F0C50" w:rsidRPr="007940D1" w:rsidRDefault="00A0065D" w:rsidP="008B610B">
      <w:pPr>
        <w:spacing w:line="480" w:lineRule="auto"/>
        <w:rPr>
          <w:rFonts w:ascii="Times New Roman" w:hAnsi="Times New Roman" w:cs="Times New Roman"/>
          <w:color w:val="111111"/>
          <w:sz w:val="24"/>
          <w:szCs w:val="24"/>
          <w:lang w:val="en"/>
        </w:rPr>
      </w:pPr>
      <w:proofErr w:type="gramStart"/>
      <w:r w:rsidRPr="00A0065D">
        <w:rPr>
          <w:rFonts w:ascii="Times New Roman" w:hAnsi="Times New Roman" w:cs="Times New Roman"/>
          <w:b/>
          <w:sz w:val="24"/>
          <w:szCs w:val="24"/>
        </w:rPr>
        <w:t>Supplemental Fig.S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0065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</w:t>
      </w:r>
      <w:proofErr w:type="gramStart"/>
      <w:r w:rsidR="004F0C50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Representative </w:t>
      </w:r>
      <w:r w:rsidR="00313A1A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strong</w:t>
      </w:r>
      <w:r w:rsidR="004F0C50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and weak staining of HEATR1 in pancreatic ductal adenocarcinoma.</w:t>
      </w:r>
      <w:proofErr w:type="gramEnd"/>
      <w:r w:rsidR="00FD10DC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Analysis of </w:t>
      </w:r>
      <w:r w:rsidR="00FD10DC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HEATR1</w:t>
      </w:r>
      <w:r w:rsidR="00FD10DC" w:rsidRPr="00FD10DC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</w:t>
      </w:r>
      <w:r w:rsidR="00FD10DC" w:rsidRPr="007940D1">
        <w:rPr>
          <w:rFonts w:ascii="Times New Roman" w:hAnsi="Times New Roman" w:cs="Times New Roman"/>
          <w:color w:val="111111"/>
          <w:sz w:val="24"/>
          <w:szCs w:val="24"/>
          <w:lang w:val="en"/>
        </w:rPr>
        <w:t>staining in pancreatic ductal adenocarcinoma</w:t>
      </w:r>
      <w:r w:rsidR="00FD10DC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 in was shown in </w:t>
      </w:r>
      <w:r w:rsidR="007F6D5A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Supplementary </w:t>
      </w:r>
      <w:r w:rsidR="00FD10DC">
        <w:rPr>
          <w:rFonts w:ascii="Times New Roman" w:hAnsi="Times New Roman" w:cs="Times New Roman"/>
          <w:color w:val="111111"/>
          <w:sz w:val="24"/>
          <w:szCs w:val="24"/>
          <w:lang w:val="en"/>
        </w:rPr>
        <w:t xml:space="preserve">Table </w:t>
      </w:r>
      <w:r w:rsidR="007F6D5A">
        <w:rPr>
          <w:rFonts w:ascii="Times New Roman" w:hAnsi="Times New Roman" w:cs="Times New Roman"/>
          <w:color w:val="111111"/>
          <w:sz w:val="24"/>
          <w:szCs w:val="24"/>
          <w:lang w:val="en"/>
        </w:rPr>
        <w:t>1</w:t>
      </w:r>
      <w:r w:rsidR="00FD10DC">
        <w:rPr>
          <w:rFonts w:ascii="Times New Roman" w:hAnsi="Times New Roman" w:cs="Times New Roman"/>
          <w:color w:val="111111"/>
          <w:sz w:val="24"/>
          <w:szCs w:val="24"/>
          <w:lang w:val="en"/>
        </w:rPr>
        <w:t>.</w:t>
      </w:r>
    </w:p>
    <w:sectPr w:rsidR="004F0C50" w:rsidRPr="007940D1" w:rsidSect="000768F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011"/>
    <w:multiLevelType w:val="hybridMultilevel"/>
    <w:tmpl w:val="51C4250E"/>
    <w:lvl w:ilvl="0" w:tplc="AB1844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2E8A"/>
    <w:multiLevelType w:val="hybridMultilevel"/>
    <w:tmpl w:val="33640206"/>
    <w:lvl w:ilvl="0" w:tplc="EED042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1364B"/>
    <w:multiLevelType w:val="hybridMultilevel"/>
    <w:tmpl w:val="ED1248B2"/>
    <w:lvl w:ilvl="0" w:tplc="CE2ADF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23E0E"/>
    <w:multiLevelType w:val="hybridMultilevel"/>
    <w:tmpl w:val="2EAABC3C"/>
    <w:lvl w:ilvl="0" w:tplc="472E04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74"/>
    <w:rsid w:val="000022F2"/>
    <w:rsid w:val="00020EA1"/>
    <w:rsid w:val="00047E88"/>
    <w:rsid w:val="000640BC"/>
    <w:rsid w:val="000768F7"/>
    <w:rsid w:val="00081974"/>
    <w:rsid w:val="000A5794"/>
    <w:rsid w:val="00172CE4"/>
    <w:rsid w:val="001D2E46"/>
    <w:rsid w:val="002D1B68"/>
    <w:rsid w:val="00313A1A"/>
    <w:rsid w:val="00355C35"/>
    <w:rsid w:val="00360EC8"/>
    <w:rsid w:val="003E6168"/>
    <w:rsid w:val="004A4FEA"/>
    <w:rsid w:val="004F0C50"/>
    <w:rsid w:val="005038AF"/>
    <w:rsid w:val="00507DAA"/>
    <w:rsid w:val="00530C77"/>
    <w:rsid w:val="00574CD8"/>
    <w:rsid w:val="00635865"/>
    <w:rsid w:val="0067602A"/>
    <w:rsid w:val="006C12E5"/>
    <w:rsid w:val="00723EE5"/>
    <w:rsid w:val="00736CE2"/>
    <w:rsid w:val="007805FC"/>
    <w:rsid w:val="00785949"/>
    <w:rsid w:val="007940D1"/>
    <w:rsid w:val="007B1D52"/>
    <w:rsid w:val="007F6D5A"/>
    <w:rsid w:val="007F6E20"/>
    <w:rsid w:val="00836ACF"/>
    <w:rsid w:val="00890DAB"/>
    <w:rsid w:val="008A5CE1"/>
    <w:rsid w:val="008B610B"/>
    <w:rsid w:val="009F47C6"/>
    <w:rsid w:val="00A0065D"/>
    <w:rsid w:val="00A4562F"/>
    <w:rsid w:val="00A93C33"/>
    <w:rsid w:val="00AA6D23"/>
    <w:rsid w:val="00B1185C"/>
    <w:rsid w:val="00C515CB"/>
    <w:rsid w:val="00C777A3"/>
    <w:rsid w:val="00D33C05"/>
    <w:rsid w:val="00D37346"/>
    <w:rsid w:val="00D944B4"/>
    <w:rsid w:val="00DF5153"/>
    <w:rsid w:val="00EA7A2E"/>
    <w:rsid w:val="00F709C0"/>
    <w:rsid w:val="00F8759B"/>
    <w:rsid w:val="00FC70A9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10972765140079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7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Tongzheng   Liu</dc:creator>
  <cp:lastModifiedBy>Tongzheng   Liu</cp:lastModifiedBy>
  <cp:revision>38</cp:revision>
  <dcterms:created xsi:type="dcterms:W3CDTF">2014-12-26T04:27:00Z</dcterms:created>
  <dcterms:modified xsi:type="dcterms:W3CDTF">2015-09-24T19:52:00Z</dcterms:modified>
</cp:coreProperties>
</file>