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F9" w:rsidRPr="00AD0C40" w:rsidRDefault="00710D5B" w:rsidP="001668F9">
      <w:pPr>
        <w:spacing w:line="360" w:lineRule="auto"/>
        <w:rPr>
          <w:rFonts w:ascii="Times New Roman" w:eastAsia="Arial Unicode MS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BD78E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A6EE3" w:rsidRPr="00BD78EF">
        <w:rPr>
          <w:rFonts w:ascii="Times New Roman" w:hAnsi="Times New Roman" w:cs="Times New Roman"/>
          <w:b/>
          <w:sz w:val="24"/>
          <w:szCs w:val="24"/>
        </w:rPr>
        <w:t>S</w:t>
      </w:r>
      <w:r w:rsidR="0072024B" w:rsidRPr="00BD78EF">
        <w:rPr>
          <w:rFonts w:ascii="Times New Roman" w:hAnsi="Times New Roman" w:cs="Times New Roman"/>
          <w:b/>
          <w:sz w:val="24"/>
          <w:szCs w:val="24"/>
        </w:rPr>
        <w:t>2</w:t>
      </w:r>
      <w:r w:rsidR="001668F9" w:rsidRPr="00BD78EF">
        <w:rPr>
          <w:rFonts w:ascii="Times New Roman" w:hAnsi="Times New Roman" w:cs="Times New Roman"/>
          <w:b/>
          <w:sz w:val="24"/>
          <w:szCs w:val="24"/>
        </w:rPr>
        <w:t>.</w:t>
      </w:r>
      <w:r w:rsidR="00FA2143" w:rsidRPr="00BD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C40">
        <w:rPr>
          <w:rFonts w:ascii="Times New Roman" w:hAnsi="Times New Roman" w:cs="Times New Roman"/>
          <w:b/>
          <w:sz w:val="24"/>
          <w:szCs w:val="24"/>
        </w:rPr>
        <w:t>Number</w:t>
      </w:r>
      <w:r w:rsidR="00BD78EF">
        <w:rPr>
          <w:rFonts w:ascii="Times New Roman" w:hAnsi="Times New Roman" w:cs="Times New Roman"/>
          <w:b/>
          <w:sz w:val="24"/>
          <w:szCs w:val="24"/>
        </w:rPr>
        <w:t xml:space="preserve"> of primary CTLs and established T-iPSCs and comparison of IC50 of original CTLs and regenerated C</w:t>
      </w:r>
      <w:r w:rsidR="00AD0C40">
        <w:rPr>
          <w:rFonts w:ascii="Times New Roman" w:hAnsi="Times New Roman" w:cs="Times New Roman"/>
          <w:b/>
          <w:sz w:val="24"/>
          <w:szCs w:val="24"/>
        </w:rPr>
        <w:t>D8</w:t>
      </w:r>
      <w:r w:rsidR="00AD0C40" w:rsidRPr="00AD0C40">
        <w:rPr>
          <w:rFonts w:ascii="Times New Roman" w:hAnsi="Times New Roman" w:cs="Times New Roman"/>
          <w:b/>
          <w:sz w:val="24"/>
          <w:szCs w:val="24"/>
        </w:rPr>
        <w:t>αβ T</w:t>
      </w:r>
      <w:r w:rsidR="00AD0C40" w:rsidRPr="00AD0C40">
        <w:rPr>
          <w:rFonts w:ascii="Times New Roman" w:hAnsi="Times New Roman" w:cs="Times New Roman"/>
          <w:b/>
          <w:sz w:val="24"/>
          <w:szCs w:val="24"/>
        </w:rPr>
        <w:t xml:space="preserve"> cells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296"/>
        <w:gridCol w:w="2519"/>
        <w:gridCol w:w="2268"/>
        <w:gridCol w:w="2551"/>
      </w:tblGrid>
      <w:tr w:rsidR="00562504" w:rsidRPr="000E0F60" w:rsidTr="00FA2143"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562504" w:rsidRPr="00FA2143" w:rsidRDefault="00A47BE0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Original CTLs</w:t>
            </w:r>
          </w:p>
        </w:tc>
        <w:tc>
          <w:tcPr>
            <w:tcW w:w="1296" w:type="dxa"/>
            <w:tcBorders>
              <w:left w:val="single" w:sz="4" w:space="0" w:color="auto"/>
              <w:bottom w:val="dotted" w:sz="4" w:space="0" w:color="auto"/>
            </w:tcBorders>
          </w:tcPr>
          <w:p w:rsidR="00562504" w:rsidRPr="00FA2143" w:rsidRDefault="00562504" w:rsidP="00F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Number of CTL</w:t>
            </w:r>
            <w:r w:rsidR="00FA2143" w:rsidRPr="00FA21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Number of established </w:t>
            </w:r>
            <w:r w:rsidR="006E3E66"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(specific) </w:t>
            </w: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iPS clones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A2143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IC 50 of </w:t>
            </w:r>
          </w:p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original CTLs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A2143" w:rsidRPr="00FA2143" w:rsidRDefault="00562504" w:rsidP="00F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IC 50 of </w:t>
            </w:r>
          </w:p>
          <w:p w:rsidR="00562504" w:rsidRPr="00FA2143" w:rsidRDefault="00562504" w:rsidP="00F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regenerated C</w:t>
            </w:r>
            <w:r w:rsidR="00FA2143" w:rsidRPr="00FA2143">
              <w:rPr>
                <w:rFonts w:ascii="Times New Roman" w:hAnsi="Times New Roman" w:cs="Times New Roman"/>
                <w:sz w:val="24"/>
                <w:szCs w:val="24"/>
              </w:rPr>
              <w:t>D8αβ T</w:t>
            </w:r>
          </w:p>
        </w:tc>
      </w:tr>
      <w:tr w:rsidR="00562504" w:rsidRPr="000E0F60" w:rsidTr="00FA2143">
        <w:tc>
          <w:tcPr>
            <w:tcW w:w="1255" w:type="dxa"/>
            <w:tcBorders>
              <w:top w:val="double" w:sz="4" w:space="0" w:color="auto"/>
            </w:tcBorders>
            <w:vAlign w:val="center"/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p-CTL </w:t>
            </w:r>
          </w:p>
          <w:p w:rsidR="00562504" w:rsidRPr="00FA2143" w:rsidRDefault="00FA2143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LMP2</w:t>
            </w:r>
            <w:r w:rsidR="00562504" w:rsidRPr="00FA2143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296" w:type="dxa"/>
            <w:tcBorders>
              <w:top w:val="double" w:sz="4" w:space="0" w:color="auto"/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FA2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19" w:type="dxa"/>
            <w:tcBorders>
              <w:top w:val="double" w:sz="4" w:space="0" w:color="auto"/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:rsidR="00562504" w:rsidRPr="00FA2143" w:rsidRDefault="004E470E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pM - </w:t>
            </w:r>
            <w:r w:rsidR="00996D3D" w:rsidRPr="00FA2143">
              <w:rPr>
                <w:rFonts w:ascii="Times New Roman" w:hAnsi="Times New Roman" w:cs="Times New Roman"/>
                <w:sz w:val="24"/>
                <w:szCs w:val="24"/>
              </w:rPr>
              <w:t>1 nM</w:t>
            </w:r>
          </w:p>
        </w:tc>
        <w:tc>
          <w:tcPr>
            <w:tcW w:w="2551" w:type="dxa"/>
            <w:tcBorders>
              <w:top w:val="double" w:sz="4" w:space="0" w:color="auto"/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 nM – 10 nM</w:t>
            </w:r>
          </w:p>
        </w:tc>
      </w:tr>
      <w:tr w:rsidR="00562504" w:rsidRPr="000E0F60" w:rsidTr="00FA2143">
        <w:tc>
          <w:tcPr>
            <w:tcW w:w="1255" w:type="dxa"/>
            <w:vAlign w:val="center"/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p-CTL </w:t>
            </w:r>
          </w:p>
          <w:p w:rsidR="00562504" w:rsidRPr="00FA2143" w:rsidRDefault="00FA2143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LMP2</w:t>
            </w:r>
            <w:r w:rsidR="00562504" w:rsidRPr="00FA2143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FA2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 (10)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 pM-100 pM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100 pM- 1 nM</w:t>
            </w:r>
          </w:p>
        </w:tc>
        <w:bookmarkStart w:id="0" w:name="_GoBack"/>
        <w:bookmarkEnd w:id="0"/>
      </w:tr>
      <w:tr w:rsidR="00562504" w:rsidRPr="000E0F60" w:rsidTr="00FA2143">
        <w:tc>
          <w:tcPr>
            <w:tcW w:w="1255" w:type="dxa"/>
            <w:vAlign w:val="center"/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p-CTL </w:t>
            </w:r>
          </w:p>
          <w:p w:rsidR="00562504" w:rsidRPr="00FA2143" w:rsidRDefault="00FA2143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WT1</w:t>
            </w:r>
            <w:r w:rsidR="00562504" w:rsidRPr="00FA2143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562504" w:rsidRPr="00FA2143" w:rsidRDefault="00FA2143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7 x 10</w:t>
            </w:r>
            <w:r w:rsidRPr="00FA2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562504" w:rsidRPr="00FA2143" w:rsidRDefault="00FA2143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2504"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62504" w:rsidRPr="00FA2143" w:rsidRDefault="00A47BE0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 pM – 100 pM</w:t>
            </w:r>
          </w:p>
        </w:tc>
      </w:tr>
      <w:tr w:rsidR="00562504" w:rsidRPr="000E0F60" w:rsidTr="00FA2143">
        <w:tc>
          <w:tcPr>
            <w:tcW w:w="1255" w:type="dxa"/>
            <w:vAlign w:val="center"/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 xml:space="preserve">p-CTL </w:t>
            </w:r>
          </w:p>
          <w:p w:rsidR="00562504" w:rsidRPr="00FA2143" w:rsidRDefault="00FA2143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WT1</w:t>
            </w:r>
            <w:r w:rsidR="00562504" w:rsidRPr="00FA2143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FA2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100 pM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100 pM</w:t>
            </w:r>
          </w:p>
        </w:tc>
      </w:tr>
      <w:tr w:rsidR="00562504" w:rsidRPr="000E0F60" w:rsidTr="00FA2143">
        <w:tc>
          <w:tcPr>
            <w:tcW w:w="1255" w:type="dxa"/>
            <w:vAlign w:val="center"/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p-CTL</w:t>
            </w:r>
          </w:p>
          <w:p w:rsidR="00562504" w:rsidRPr="00FA2143" w:rsidRDefault="00FA2143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WT1</w:t>
            </w:r>
            <w:r w:rsidR="00562504" w:rsidRPr="00FA2143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FA2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562504" w:rsidRPr="00FA2143" w:rsidRDefault="00562504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 pM – 100 pM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62504" w:rsidRPr="00FA2143" w:rsidRDefault="00996D3D" w:rsidP="00A4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3">
              <w:rPr>
                <w:rFonts w:ascii="Times New Roman" w:hAnsi="Times New Roman" w:cs="Times New Roman"/>
                <w:sz w:val="24"/>
                <w:szCs w:val="24"/>
              </w:rPr>
              <w:t>100 pM – 1 nM</w:t>
            </w:r>
          </w:p>
        </w:tc>
      </w:tr>
    </w:tbl>
    <w:p w:rsidR="00186BA9" w:rsidRDefault="00186BA9" w:rsidP="001668F9">
      <w:pPr>
        <w:jc w:val="left"/>
        <w:rPr>
          <w:rFonts w:ascii="Arial" w:hAnsi="Arial" w:cs="Arial"/>
          <w:sz w:val="24"/>
          <w:szCs w:val="24"/>
        </w:rPr>
      </w:pPr>
    </w:p>
    <w:p w:rsidR="00BD78EF" w:rsidRDefault="00BD78EF" w:rsidP="001668F9">
      <w:pPr>
        <w:jc w:val="left"/>
        <w:rPr>
          <w:rFonts w:ascii="Arial" w:hAnsi="Arial" w:cs="Arial"/>
          <w:sz w:val="24"/>
          <w:szCs w:val="24"/>
        </w:rPr>
      </w:pPr>
    </w:p>
    <w:p w:rsidR="00BD78EF" w:rsidRPr="00BD78EF" w:rsidRDefault="00BD78EF" w:rsidP="001668F9">
      <w:pPr>
        <w:jc w:val="left"/>
        <w:rPr>
          <w:rFonts w:ascii="Times New Roman" w:hAnsi="Times New Roman" w:cs="Times New Roman"/>
          <w:sz w:val="24"/>
          <w:szCs w:val="24"/>
        </w:rPr>
      </w:pPr>
      <w:r w:rsidRPr="00BD78EF">
        <w:rPr>
          <w:rFonts w:ascii="Times New Roman" w:hAnsi="Times New Roman" w:cs="Times New Roman"/>
          <w:sz w:val="24"/>
          <w:szCs w:val="24"/>
        </w:rPr>
        <w:t>Number of T cells used to establish T-iPSCs, number of</w:t>
      </w:r>
      <w:r w:rsidR="008C5879">
        <w:rPr>
          <w:rFonts w:ascii="Times New Roman" w:hAnsi="Times New Roman" w:cs="Times New Roman"/>
          <w:sz w:val="24"/>
          <w:szCs w:val="24"/>
        </w:rPr>
        <w:t xml:space="preserve"> clones established and</w:t>
      </w:r>
      <w:r w:rsidRPr="00BD78EF">
        <w:rPr>
          <w:rFonts w:ascii="Times New Roman" w:hAnsi="Times New Roman" w:cs="Times New Roman"/>
          <w:sz w:val="24"/>
          <w:szCs w:val="24"/>
        </w:rPr>
        <w:t xml:space="preserve"> number of clones specific for each antigen were shown. IC50 were evaluated by killing assay against target cells pulsed with each antigen at various </w:t>
      </w:r>
      <w:r w:rsidR="0027619E">
        <w:rPr>
          <w:rFonts w:ascii="Times New Roman" w:hAnsi="Times New Roman" w:cs="Times New Roman"/>
          <w:sz w:val="24"/>
          <w:szCs w:val="24"/>
        </w:rPr>
        <w:t>concentration as shown in Fig. 5A, 5</w:t>
      </w:r>
      <w:r w:rsidRPr="00BD78EF">
        <w:rPr>
          <w:rFonts w:ascii="Times New Roman" w:hAnsi="Times New Roman" w:cs="Times New Roman"/>
          <w:sz w:val="24"/>
          <w:szCs w:val="24"/>
        </w:rPr>
        <w:t>G</w:t>
      </w:r>
      <w:r w:rsidR="0027619E">
        <w:rPr>
          <w:rFonts w:ascii="Times New Roman" w:hAnsi="Times New Roman" w:cs="Times New Roman"/>
          <w:sz w:val="24"/>
          <w:szCs w:val="24"/>
        </w:rPr>
        <w:t>, 6H, etc</w:t>
      </w:r>
      <w:r w:rsidRPr="00B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N.D.; Not done.</w:t>
      </w:r>
    </w:p>
    <w:sectPr w:rsidR="00BD78EF" w:rsidRPr="00BD78EF" w:rsidSect="00CF3C89">
      <w:pgSz w:w="16839" w:h="11907" w:orient="landscape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B6" w:rsidRDefault="009051B6" w:rsidP="001668F9">
      <w:r>
        <w:separator/>
      </w:r>
    </w:p>
  </w:endnote>
  <w:endnote w:type="continuationSeparator" w:id="0">
    <w:p w:rsidR="009051B6" w:rsidRDefault="009051B6" w:rsidP="001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B6" w:rsidRDefault="009051B6" w:rsidP="001668F9">
      <w:r>
        <w:separator/>
      </w:r>
    </w:p>
  </w:footnote>
  <w:footnote w:type="continuationSeparator" w:id="0">
    <w:p w:rsidR="009051B6" w:rsidRDefault="009051B6" w:rsidP="0016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C"/>
    <w:rsid w:val="00003F3F"/>
    <w:rsid w:val="00072790"/>
    <w:rsid w:val="00073426"/>
    <w:rsid w:val="000E0F60"/>
    <w:rsid w:val="001668F9"/>
    <w:rsid w:val="00186BA9"/>
    <w:rsid w:val="0019249C"/>
    <w:rsid w:val="00275DAD"/>
    <w:rsid w:val="0027619E"/>
    <w:rsid w:val="004E470E"/>
    <w:rsid w:val="00562504"/>
    <w:rsid w:val="006018B9"/>
    <w:rsid w:val="00634B5A"/>
    <w:rsid w:val="006A6EE3"/>
    <w:rsid w:val="006E3E66"/>
    <w:rsid w:val="00710D5B"/>
    <w:rsid w:val="0072024B"/>
    <w:rsid w:val="007E15AF"/>
    <w:rsid w:val="008C5879"/>
    <w:rsid w:val="009051B6"/>
    <w:rsid w:val="00966A85"/>
    <w:rsid w:val="00996D3D"/>
    <w:rsid w:val="009A1483"/>
    <w:rsid w:val="00A311E5"/>
    <w:rsid w:val="00A47BE0"/>
    <w:rsid w:val="00AD0C40"/>
    <w:rsid w:val="00B11A46"/>
    <w:rsid w:val="00B374BD"/>
    <w:rsid w:val="00BC5B4A"/>
    <w:rsid w:val="00BD78EF"/>
    <w:rsid w:val="00BF3B2D"/>
    <w:rsid w:val="00C76B22"/>
    <w:rsid w:val="00CB771E"/>
    <w:rsid w:val="00CF3C89"/>
    <w:rsid w:val="00D36A1C"/>
    <w:rsid w:val="00D6506C"/>
    <w:rsid w:val="00E44592"/>
    <w:rsid w:val="00F07FED"/>
    <w:rsid w:val="00F667AA"/>
    <w:rsid w:val="00FA2143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EB602"/>
  <w15:docId w15:val="{1DB2588E-6AB9-406B-939D-29ACA908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8F9"/>
  </w:style>
  <w:style w:type="paragraph" w:styleId="a6">
    <w:name w:val="footer"/>
    <w:basedOn w:val="a"/>
    <w:link w:val="a7"/>
    <w:uiPriority w:val="99"/>
    <w:unhideWhenUsed/>
    <w:rsid w:val="00166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前田卓也</cp:lastModifiedBy>
  <cp:revision>11</cp:revision>
  <cp:lastPrinted>2016-03-30T08:36:00Z</cp:lastPrinted>
  <dcterms:created xsi:type="dcterms:W3CDTF">2016-08-14T08:56:00Z</dcterms:created>
  <dcterms:modified xsi:type="dcterms:W3CDTF">2016-08-22T08:42:00Z</dcterms:modified>
</cp:coreProperties>
</file>