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11" w:rsidRPr="0011568E" w:rsidRDefault="00E67C11" w:rsidP="00E67C11">
      <w:pPr>
        <w:spacing w:line="48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1568E">
        <w:rPr>
          <w:rFonts w:ascii="Times New Roman" w:hAnsi="Times New Roman"/>
          <w:b/>
          <w:sz w:val="24"/>
          <w:szCs w:val="24"/>
          <w:u w:val="single"/>
          <w:lang w:val="en-US"/>
        </w:rPr>
        <w:t>Supplementary Figures</w:t>
      </w:r>
    </w:p>
    <w:p w:rsidR="00E67C11" w:rsidRPr="00E91759" w:rsidRDefault="00E67C11" w:rsidP="00E67C11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91759">
        <w:rPr>
          <w:rFonts w:ascii="Times New Roman" w:hAnsi="Times New Roman"/>
          <w:b/>
          <w:sz w:val="24"/>
          <w:szCs w:val="24"/>
          <w:lang w:val="en-US"/>
        </w:rPr>
        <w:t xml:space="preserve">Additional supporting data </w:t>
      </w:r>
      <w:r>
        <w:rPr>
          <w:rFonts w:ascii="Times New Roman" w:hAnsi="Times New Roman"/>
          <w:b/>
          <w:sz w:val="24"/>
          <w:szCs w:val="24"/>
          <w:lang w:val="en-US"/>
        </w:rPr>
        <w:t>is</w:t>
      </w:r>
      <w:r w:rsidRPr="00E91759">
        <w:rPr>
          <w:rFonts w:ascii="Times New Roman" w:hAnsi="Times New Roman"/>
          <w:b/>
          <w:sz w:val="24"/>
          <w:szCs w:val="24"/>
          <w:lang w:val="en-US"/>
        </w:rPr>
        <w:t xml:space="preserve"> presented as </w:t>
      </w:r>
      <w:r w:rsidR="00FB6E9C">
        <w:rPr>
          <w:rFonts w:ascii="Times New Roman" w:hAnsi="Times New Roman"/>
          <w:b/>
          <w:sz w:val="24"/>
          <w:szCs w:val="24"/>
          <w:lang w:val="en-US"/>
        </w:rPr>
        <w:t>four</w:t>
      </w:r>
      <w:r w:rsidR="00FB6E9C" w:rsidRPr="00E917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91759">
        <w:rPr>
          <w:rFonts w:ascii="Times New Roman" w:hAnsi="Times New Roman"/>
          <w:b/>
          <w:sz w:val="24"/>
          <w:szCs w:val="24"/>
          <w:lang w:val="en-US"/>
        </w:rPr>
        <w:t xml:space="preserve">supplementary figures and the corresponding figure legends.  </w:t>
      </w:r>
    </w:p>
    <w:p w:rsidR="00E67C11" w:rsidRPr="003C33EF" w:rsidRDefault="00E67C11" w:rsidP="00E67C11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D16D6">
        <w:rPr>
          <w:rFonts w:ascii="Times New Roman" w:hAnsi="Times New Roman"/>
          <w:b/>
          <w:sz w:val="24"/>
          <w:szCs w:val="24"/>
          <w:u w:val="single"/>
          <w:lang w:val="en-US"/>
        </w:rPr>
        <w:t>Supplementary Fig.</w:t>
      </w:r>
      <w:proofErr w:type="gramEnd"/>
      <w:r w:rsidRPr="00AD16D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S1</w:t>
      </w:r>
      <w:r w:rsidRPr="00AD16D6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INSECT analysis and </w:t>
      </w:r>
      <w:r w:rsidRPr="008D3D07">
        <w:rPr>
          <w:rFonts w:ascii="Times New Roman" w:hAnsi="Times New Roman"/>
          <w:b/>
          <w:sz w:val="24"/>
          <w:szCs w:val="24"/>
          <w:lang w:val="en-US"/>
        </w:rPr>
        <w:t xml:space="preserve">KANSL2 expression in </w:t>
      </w:r>
      <w:r w:rsidR="0078124D">
        <w:rPr>
          <w:rFonts w:ascii="Times New Roman" w:hAnsi="Times New Roman"/>
          <w:b/>
          <w:sz w:val="24"/>
          <w:szCs w:val="24"/>
          <w:lang w:val="en-US"/>
        </w:rPr>
        <w:t>stem</w:t>
      </w:r>
      <w:r w:rsidRPr="008D3D07">
        <w:rPr>
          <w:rFonts w:ascii="Times New Roman" w:hAnsi="Times New Roman"/>
          <w:b/>
          <w:sz w:val="24"/>
          <w:szCs w:val="24"/>
          <w:lang w:val="en-US"/>
        </w:rPr>
        <w:t xml:space="preserve"> cells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3C33EF">
        <w:rPr>
          <w:rFonts w:ascii="Times New Roman" w:hAnsi="Times New Roman"/>
          <w:sz w:val="24"/>
          <w:szCs w:val="24"/>
          <w:lang w:val="en-US"/>
        </w:rPr>
        <w:t xml:space="preserve">SOX2/OCT4 </w:t>
      </w:r>
      <w:proofErr w:type="spellStart"/>
      <w:r w:rsidRPr="003C33EF">
        <w:rPr>
          <w:rFonts w:ascii="Times New Roman" w:hAnsi="Times New Roman"/>
          <w:sz w:val="24"/>
          <w:szCs w:val="24"/>
          <w:lang w:val="en-US"/>
        </w:rPr>
        <w:t>cis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 regulatory module (CRM) </w:t>
      </w:r>
      <w:r w:rsidRPr="00CA761E">
        <w:rPr>
          <w:rFonts w:ascii="Times New Roman" w:hAnsi="Times New Roman"/>
          <w:i/>
          <w:sz w:val="24"/>
          <w:szCs w:val="24"/>
          <w:lang w:val="en-US"/>
        </w:rPr>
        <w:t xml:space="preserve">in </w:t>
      </w:r>
      <w:proofErr w:type="spellStart"/>
      <w:r w:rsidRPr="00CA761E">
        <w:rPr>
          <w:rFonts w:ascii="Times New Roman" w:hAnsi="Times New Roman"/>
          <w:i/>
          <w:sz w:val="24"/>
          <w:szCs w:val="24"/>
          <w:lang w:val="en-US"/>
        </w:rPr>
        <w:t>silico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 search</w:t>
      </w:r>
      <w:r>
        <w:rPr>
          <w:rFonts w:ascii="Times New Roman" w:hAnsi="Times New Roman"/>
          <w:sz w:val="24"/>
          <w:szCs w:val="24"/>
          <w:lang w:val="en-US"/>
        </w:rPr>
        <w:t xml:space="preserve"> performed over the KANSL2 gene</w:t>
      </w:r>
      <w:r w:rsidRPr="003C33EF">
        <w:rPr>
          <w:rFonts w:ascii="Times New Roman" w:hAnsi="Times New Roman"/>
          <w:sz w:val="24"/>
          <w:szCs w:val="24"/>
          <w:lang w:val="en-US"/>
        </w:rPr>
        <w:t xml:space="preserve"> for both, human (</w:t>
      </w:r>
      <w:proofErr w:type="spellStart"/>
      <w:r w:rsidRPr="003C33EF">
        <w:rPr>
          <w:rFonts w:ascii="Times New Roman" w:hAnsi="Times New Roman"/>
          <w:sz w:val="24"/>
          <w:szCs w:val="24"/>
          <w:lang w:val="en-US"/>
        </w:rPr>
        <w:t>Ensembl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 ID ENSG00000139620) (A-B) and mouse (</w:t>
      </w:r>
      <w:proofErr w:type="spellStart"/>
      <w:r w:rsidRPr="003C33EF">
        <w:rPr>
          <w:rFonts w:ascii="Times New Roman" w:hAnsi="Times New Roman"/>
          <w:sz w:val="24"/>
          <w:szCs w:val="24"/>
          <w:lang w:val="en-US"/>
        </w:rPr>
        <w:t>Ensembl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 ID ENSMUSG00000022992) (C-D) using the INSECT tool. OCT4 (</w:t>
      </w:r>
      <w:r w:rsidRPr="003C33EF">
        <w:rPr>
          <w:rFonts w:ascii="Times New Roman" w:hAnsi="Times New Roman"/>
          <w:i/>
          <w:sz w:val="24"/>
          <w:szCs w:val="24"/>
          <w:lang w:val="en-US"/>
        </w:rPr>
        <w:t>POU5F1</w:t>
      </w:r>
      <w:r w:rsidRPr="003C33EF">
        <w:rPr>
          <w:rFonts w:ascii="Times New Roman" w:hAnsi="Times New Roman"/>
          <w:sz w:val="24"/>
          <w:szCs w:val="24"/>
          <w:lang w:val="en-US"/>
        </w:rPr>
        <w:t xml:space="preserve">) was selected as the master transcriptional factor of the CRM having a SOX2 biding site in the same orientation (i.e. direct or reverse) at a maximum distance of 4 </w:t>
      </w:r>
      <w:proofErr w:type="spellStart"/>
      <w:r w:rsidRPr="003C33EF">
        <w:rPr>
          <w:rFonts w:ascii="Times New Roman" w:hAnsi="Times New Roman"/>
          <w:sz w:val="24"/>
          <w:szCs w:val="24"/>
          <w:lang w:val="en-US"/>
        </w:rPr>
        <w:t>bp.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 The search of the SOX2/OCT4 motif was performed by using the Position Weight Matrix (PWM) referred to the </w:t>
      </w:r>
      <w:proofErr w:type="spellStart"/>
      <w:r w:rsidRPr="003C33EF">
        <w:rPr>
          <w:rFonts w:ascii="Times New Roman" w:hAnsi="Times New Roman"/>
          <w:sz w:val="24"/>
          <w:szCs w:val="24"/>
          <w:lang w:val="en-US"/>
        </w:rPr>
        <w:t>Jaspar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 Sox2/Oct4 TFBS (ID MA0143.1). This </w:t>
      </w:r>
      <w:proofErr w:type="spellStart"/>
      <w:r w:rsidRPr="003C33EF">
        <w:rPr>
          <w:rFonts w:ascii="Times New Roman" w:hAnsi="Times New Roman"/>
          <w:sz w:val="24"/>
          <w:szCs w:val="24"/>
          <w:lang w:val="en-US"/>
        </w:rPr>
        <w:t>Jaspar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 Motif is composed of contiguous occurrences for the SOX2 and OCT4 sites. In order to allow for a spacing distance &gt; 0 </w:t>
      </w:r>
      <w:proofErr w:type="spellStart"/>
      <w:r w:rsidRPr="003C33EF">
        <w:rPr>
          <w:rFonts w:ascii="Times New Roman" w:hAnsi="Times New Roman"/>
          <w:sz w:val="24"/>
          <w:szCs w:val="24"/>
          <w:lang w:val="en-US"/>
        </w:rPr>
        <w:t>bp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 between the two motifs and to use the assumption of independence among the sites during the construction of this PWM, we divided it into its SOX2 and OCT4 </w:t>
      </w:r>
      <w:proofErr w:type="spellStart"/>
      <w:r w:rsidRPr="003C33EF">
        <w:rPr>
          <w:rFonts w:ascii="Times New Roman" w:hAnsi="Times New Roman"/>
          <w:sz w:val="24"/>
          <w:szCs w:val="24"/>
          <w:lang w:val="en-US"/>
        </w:rPr>
        <w:t>submotifs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 and used them as the PWM inputs in INSECT as was reported previously (20). E. Relative expression (</w:t>
      </w:r>
      <w:proofErr w:type="spellStart"/>
      <w:r w:rsidRPr="003C33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qRT</w:t>
      </w:r>
      <w:proofErr w:type="spellEnd"/>
      <w:r w:rsidRPr="003C33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-PCR analysis) of</w:t>
      </w:r>
      <w:r w:rsidRPr="003C33E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C33EF"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POUF51,</w:t>
      </w:r>
      <w:r w:rsidRPr="003C33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and</w:t>
      </w:r>
      <w:r w:rsidRPr="003C33E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C33EF"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KANSL2 </w:t>
      </w:r>
      <w:r w:rsidRPr="003C33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mRNAs in </w:t>
      </w:r>
      <w:proofErr w:type="spellStart"/>
      <w:r w:rsidRPr="003C33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hESC</w:t>
      </w:r>
      <w:proofErr w:type="spellEnd"/>
      <w:r w:rsidRPr="003C33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H9 and Neural Progenitors (NP) cells. </w:t>
      </w:r>
      <w:r w:rsidRPr="003C33E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F. Relative expression (</w:t>
      </w:r>
      <w:proofErr w:type="spellStart"/>
      <w:r w:rsidRPr="003C33E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qRT</w:t>
      </w:r>
      <w:proofErr w:type="spellEnd"/>
      <w:r w:rsidRPr="003C33E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-PCR analysis) of </w:t>
      </w:r>
      <w:r w:rsidRPr="003C33EF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Kansl2</w:t>
      </w:r>
      <w:r w:rsidRPr="003C33E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and </w:t>
      </w:r>
      <w:r w:rsidRPr="003C33EF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Oct4</w:t>
      </w:r>
      <w:r w:rsidRPr="003C33E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3C33EF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Nanog</w:t>
      </w:r>
      <w:proofErr w:type="spellEnd"/>
      <w:r w:rsidRPr="003C33E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3C33EF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Sox2</w:t>
      </w:r>
      <w:r w:rsidRPr="003C33E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r w:rsidRPr="003C33EF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Cdx2</w:t>
      </w:r>
      <w:r w:rsidRPr="003C33E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mRNAs in murine P19 and embryonic body cells.</w:t>
      </w:r>
    </w:p>
    <w:p w:rsidR="00E67C11" w:rsidRPr="00E91759" w:rsidRDefault="00E67C11" w:rsidP="00E67C11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7C11" w:rsidRPr="003C33EF" w:rsidRDefault="00E67C11" w:rsidP="00E67C11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1568E">
        <w:rPr>
          <w:rFonts w:ascii="Times New Roman" w:hAnsi="Times New Roman"/>
          <w:b/>
          <w:sz w:val="24"/>
          <w:szCs w:val="24"/>
          <w:u w:val="single"/>
          <w:lang w:val="en-US"/>
        </w:rPr>
        <w:t>Supplementary Fig.</w:t>
      </w:r>
      <w:proofErr w:type="gramEnd"/>
      <w:r w:rsidRPr="0011568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S2:</w:t>
      </w:r>
      <w:r w:rsidRPr="00E91759">
        <w:rPr>
          <w:rFonts w:ascii="Times New Roman" w:hAnsi="Times New Roman"/>
          <w:b/>
          <w:sz w:val="24"/>
          <w:szCs w:val="24"/>
          <w:lang w:val="en-US"/>
        </w:rPr>
        <w:t xml:space="preserve"> KANS</w:t>
      </w:r>
      <w:r>
        <w:rPr>
          <w:rFonts w:ascii="Times New Roman" w:hAnsi="Times New Roman"/>
          <w:b/>
          <w:sz w:val="24"/>
          <w:szCs w:val="24"/>
          <w:lang w:val="en-US"/>
        </w:rPr>
        <w:t>L</w:t>
      </w:r>
      <w:r w:rsidRPr="00E91759">
        <w:rPr>
          <w:rFonts w:ascii="Times New Roman" w:hAnsi="Times New Roman"/>
          <w:b/>
          <w:sz w:val="24"/>
          <w:szCs w:val="24"/>
          <w:lang w:val="en-US"/>
        </w:rPr>
        <w:t xml:space="preserve">2 down regulation inhibits GBM derived tumor growth. </w:t>
      </w:r>
      <w:r w:rsidRPr="003C33EF">
        <w:rPr>
          <w:rFonts w:ascii="Times New Roman" w:hAnsi="Times New Roman"/>
          <w:sz w:val="24"/>
          <w:szCs w:val="24"/>
          <w:lang w:val="en-US"/>
        </w:rPr>
        <w:t>A, RT-</w:t>
      </w:r>
      <w:proofErr w:type="spellStart"/>
      <w:r w:rsidRPr="003C33EF">
        <w:rPr>
          <w:rFonts w:ascii="Times New Roman" w:hAnsi="Times New Roman"/>
          <w:sz w:val="24"/>
          <w:szCs w:val="24"/>
          <w:lang w:val="en-US"/>
        </w:rPr>
        <w:t>qPCR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 analysis of KD-K2-1 and KD-K2-2 LN299 cells showing significantly suppressed </w:t>
      </w:r>
      <w:r w:rsidRPr="003C33EF">
        <w:rPr>
          <w:rFonts w:ascii="Times New Roman" w:hAnsi="Times New Roman"/>
          <w:i/>
          <w:sz w:val="24"/>
          <w:szCs w:val="24"/>
          <w:lang w:val="en-US"/>
        </w:rPr>
        <w:t>KANSL2</w:t>
      </w:r>
      <w:r w:rsidRPr="003C33EF">
        <w:rPr>
          <w:rFonts w:ascii="Times New Roman" w:hAnsi="Times New Roman"/>
          <w:sz w:val="24"/>
          <w:szCs w:val="24"/>
          <w:lang w:val="en-US"/>
        </w:rPr>
        <w:t xml:space="preserve"> mRNA levels compared to NT.  Results are expressed as </w:t>
      </w:r>
      <w:r w:rsidRPr="003C33EF">
        <w:rPr>
          <w:rFonts w:ascii="Times New Roman" w:hAnsi="Times New Roman"/>
          <w:sz w:val="24"/>
          <w:szCs w:val="24"/>
          <w:lang w:val="en-US"/>
        </w:rPr>
        <w:lastRenderedPageBreak/>
        <w:t xml:space="preserve">mean ± SEM from three independent measurements. </w:t>
      </w:r>
      <w:proofErr w:type="gramStart"/>
      <w:r w:rsidRPr="003C33EF">
        <w:rPr>
          <w:rFonts w:ascii="Times New Roman" w:hAnsi="Times New Roman"/>
          <w:sz w:val="24"/>
          <w:szCs w:val="24"/>
          <w:lang w:val="en-US"/>
        </w:rPr>
        <w:t>*, P≤0.05; ***, P≤0.0005.</w:t>
      </w:r>
      <w:proofErr w:type="gramEnd"/>
      <w:r w:rsidRPr="003C33EF">
        <w:rPr>
          <w:rFonts w:ascii="Times New Roman" w:hAnsi="Times New Roman"/>
          <w:sz w:val="24"/>
          <w:szCs w:val="24"/>
          <w:lang w:val="en-US"/>
        </w:rPr>
        <w:t xml:space="preserve"> B, Western blot analysis of 20 </w:t>
      </w:r>
      <w:proofErr w:type="spellStart"/>
      <w:r w:rsidRPr="003C33EF">
        <w:rPr>
          <w:rFonts w:ascii="Times New Roman" w:hAnsi="Times New Roman"/>
          <w:sz w:val="24"/>
          <w:szCs w:val="24"/>
          <w:lang w:val="en-US"/>
        </w:rPr>
        <w:t>μg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 of total proteins from LN299 described in A) using a specific antibody against KANSL2 showing decreased KANSL2 protein level. The level of GAPDH expression was used as a loading control. Average fold decrease of KANSL2 protein accumulation is shown above. C-E, </w:t>
      </w:r>
      <w:proofErr w:type="spellStart"/>
      <w:r w:rsidRPr="003C33EF">
        <w:rPr>
          <w:rFonts w:ascii="Times New Roman" w:hAnsi="Times New Roman"/>
          <w:sz w:val="24"/>
          <w:szCs w:val="24"/>
          <w:lang w:val="en-US"/>
        </w:rPr>
        <w:t>NOD</w:t>
      </w:r>
      <w:r w:rsidRPr="003C33EF">
        <w:rPr>
          <w:rFonts w:ascii="Times New Roman" w:hAnsi="Times New Roman"/>
          <w:i/>
          <w:sz w:val="24"/>
          <w:szCs w:val="24"/>
          <w:lang w:val="en-US"/>
        </w:rPr>
        <w:t>scid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 mice were injected subcutaneously with 1x10</w:t>
      </w:r>
      <w:r w:rsidRPr="003C33EF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6 </w:t>
      </w:r>
      <w:r w:rsidRPr="003C33EF">
        <w:rPr>
          <w:rFonts w:ascii="Times New Roman" w:hAnsi="Times New Roman"/>
          <w:sz w:val="24"/>
          <w:szCs w:val="24"/>
          <w:lang w:val="en-US"/>
        </w:rPr>
        <w:t xml:space="preserve">LN229 cells stably expressing control </w:t>
      </w:r>
      <w:proofErr w:type="spellStart"/>
      <w:r w:rsidRPr="003C33EF">
        <w:rPr>
          <w:rFonts w:ascii="Times New Roman" w:hAnsi="Times New Roman"/>
          <w:sz w:val="24"/>
          <w:szCs w:val="24"/>
          <w:lang w:val="en-US"/>
        </w:rPr>
        <w:t>shRNA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 (NT) or two different KANSL2 </w:t>
      </w:r>
      <w:proofErr w:type="spellStart"/>
      <w:r w:rsidRPr="003C33EF">
        <w:rPr>
          <w:rFonts w:ascii="Times New Roman" w:hAnsi="Times New Roman"/>
          <w:sz w:val="24"/>
          <w:szCs w:val="24"/>
          <w:lang w:val="en-US"/>
        </w:rPr>
        <w:t>shRNA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 (KD-K2-1 or KD-K2-2). C. Average tumor volume ± SEM is plotted against time (in days). *P≤0.05, **P≤0.005, ***P≤0.0005. </w:t>
      </w:r>
      <w:proofErr w:type="gramStart"/>
      <w:r w:rsidRPr="003C33EF">
        <w:rPr>
          <w:rFonts w:ascii="Times New Roman" w:hAnsi="Times New Roman"/>
          <w:sz w:val="24"/>
          <w:szCs w:val="24"/>
          <w:lang w:val="en-US"/>
        </w:rPr>
        <w:t>D, Final tumor weight at 9</w:t>
      </w:r>
      <w:r>
        <w:rPr>
          <w:rFonts w:ascii="Times New Roman" w:hAnsi="Times New Roman"/>
          <w:sz w:val="24"/>
          <w:szCs w:val="24"/>
          <w:lang w:val="en-US"/>
        </w:rPr>
        <w:t xml:space="preserve"> days</w:t>
      </w:r>
      <w:r w:rsidRPr="003C33EF">
        <w:rPr>
          <w:rFonts w:ascii="Times New Roman" w:hAnsi="Times New Roman"/>
          <w:sz w:val="24"/>
          <w:szCs w:val="24"/>
          <w:lang w:val="en-US"/>
        </w:rPr>
        <w:t xml:space="preserve"> after subcutaneous injection.</w:t>
      </w:r>
      <w:proofErr w:type="gramEnd"/>
      <w:r w:rsidRPr="003C33EF">
        <w:rPr>
          <w:rFonts w:ascii="Times New Roman" w:hAnsi="Times New Roman"/>
          <w:sz w:val="24"/>
          <w:szCs w:val="24"/>
          <w:lang w:val="en-US"/>
        </w:rPr>
        <w:t xml:space="preserve"> ***P≤0.0005. E, Representative photographs of tumors excised from mice. </w:t>
      </w:r>
    </w:p>
    <w:p w:rsidR="00E67C11" w:rsidRPr="00E91759" w:rsidRDefault="00E67C11" w:rsidP="00E67C11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67C11" w:rsidRDefault="00E67C11" w:rsidP="00E67C11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50567">
        <w:rPr>
          <w:rFonts w:ascii="Times New Roman" w:hAnsi="Times New Roman"/>
          <w:b/>
          <w:sz w:val="24"/>
          <w:szCs w:val="24"/>
          <w:u w:val="single"/>
          <w:lang w:val="en-US"/>
        </w:rPr>
        <w:t>Supplementary Fig.</w:t>
      </w:r>
      <w:proofErr w:type="gramEnd"/>
      <w:r w:rsidRPr="00F5056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S3</w:t>
      </w:r>
      <w:r w:rsidRPr="00E91759">
        <w:rPr>
          <w:rFonts w:ascii="Times New Roman" w:hAnsi="Times New Roman"/>
          <w:b/>
          <w:sz w:val="24"/>
          <w:szCs w:val="24"/>
          <w:lang w:val="en-US"/>
        </w:rPr>
        <w:t>: Reduced acetylation on H4K16 in KD-KANSL2 cells.</w:t>
      </w:r>
      <w:r w:rsidRPr="00E917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33EF">
        <w:rPr>
          <w:rFonts w:ascii="Times New Roman" w:hAnsi="Times New Roman"/>
          <w:sz w:val="24"/>
          <w:szCs w:val="24"/>
          <w:lang w:val="en-US"/>
        </w:rPr>
        <w:t xml:space="preserve">Western blot of AcH4K16 levels in KD-K2-1 and KD-K2-2 U87MG and T98 cells. Histones were normalized using an antibody for non-modified histone 3 (H3).  </w:t>
      </w:r>
      <w:proofErr w:type="gramStart"/>
      <w:r w:rsidRPr="003C33EF">
        <w:rPr>
          <w:rFonts w:ascii="Times New Roman" w:hAnsi="Times New Roman"/>
          <w:sz w:val="24"/>
          <w:szCs w:val="24"/>
          <w:lang w:val="en-US"/>
        </w:rPr>
        <w:t xml:space="preserve">GBM, </w:t>
      </w:r>
      <w:proofErr w:type="spellStart"/>
      <w:r w:rsidRPr="003C33EF">
        <w:rPr>
          <w:rFonts w:ascii="Times New Roman" w:hAnsi="Times New Roman"/>
          <w:sz w:val="24"/>
          <w:szCs w:val="24"/>
          <w:lang w:val="en-US"/>
        </w:rPr>
        <w:t>glioblastoma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; NT, non-targeting; KD-K2-1, </w:t>
      </w:r>
      <w:proofErr w:type="spellStart"/>
      <w:r w:rsidRPr="003C33EF">
        <w:rPr>
          <w:rFonts w:ascii="Times New Roman" w:hAnsi="Times New Roman"/>
          <w:sz w:val="24"/>
          <w:szCs w:val="24"/>
          <w:lang w:val="en-US"/>
        </w:rPr>
        <w:t>shRNA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 KANSL2-1 and KD-K2-2, </w:t>
      </w:r>
      <w:proofErr w:type="spellStart"/>
      <w:r w:rsidRPr="003C33EF">
        <w:rPr>
          <w:rFonts w:ascii="Times New Roman" w:hAnsi="Times New Roman"/>
          <w:sz w:val="24"/>
          <w:szCs w:val="24"/>
          <w:lang w:val="en-US"/>
        </w:rPr>
        <w:t>shRNA</w:t>
      </w:r>
      <w:proofErr w:type="spellEnd"/>
      <w:r w:rsidRPr="003C33EF">
        <w:rPr>
          <w:rFonts w:ascii="Times New Roman" w:hAnsi="Times New Roman"/>
          <w:sz w:val="24"/>
          <w:szCs w:val="24"/>
          <w:lang w:val="en-US"/>
        </w:rPr>
        <w:t xml:space="preserve"> KANSL2-2.</w:t>
      </w:r>
      <w:proofErr w:type="gramEnd"/>
    </w:p>
    <w:p w:rsidR="008919C5" w:rsidRDefault="008919C5" w:rsidP="00E67C11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577E6" w:rsidRPr="007577E6" w:rsidRDefault="008919C5" w:rsidP="007577E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61EA9">
        <w:rPr>
          <w:rFonts w:ascii="Times New Roman" w:hAnsi="Times New Roman"/>
          <w:b/>
          <w:sz w:val="24"/>
          <w:szCs w:val="24"/>
          <w:u w:val="single"/>
          <w:lang w:val="en-US"/>
        </w:rPr>
        <w:t>Supplementary Fig.</w:t>
      </w:r>
      <w:proofErr w:type="gramEnd"/>
      <w:r w:rsidRPr="00B61EA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S4</w:t>
      </w:r>
      <w:r w:rsidRPr="00B61EA9">
        <w:rPr>
          <w:rFonts w:ascii="Times New Roman" w:hAnsi="Times New Roman"/>
          <w:b/>
          <w:sz w:val="24"/>
          <w:szCs w:val="24"/>
          <w:lang w:val="en-US"/>
        </w:rPr>
        <w:t>:</w:t>
      </w:r>
      <w:r w:rsidR="005A7A5F" w:rsidRPr="00B61EA9">
        <w:rPr>
          <w:lang w:val="en-US"/>
        </w:rPr>
        <w:t xml:space="preserve"> </w:t>
      </w:r>
      <w:r w:rsidR="005A7A5F" w:rsidRPr="00B61EA9">
        <w:rPr>
          <w:rFonts w:ascii="Times New Roman" w:hAnsi="Times New Roman"/>
          <w:b/>
          <w:sz w:val="24"/>
          <w:szCs w:val="24"/>
          <w:lang w:val="en-US"/>
        </w:rPr>
        <w:t>Higher self-renewal capacity</w:t>
      </w:r>
      <w:r w:rsidR="007577E6" w:rsidRPr="00B61E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7A5F" w:rsidRPr="00B61EA9">
        <w:rPr>
          <w:rFonts w:ascii="Times New Roman" w:hAnsi="Times New Roman"/>
          <w:b/>
          <w:sz w:val="24"/>
          <w:szCs w:val="24"/>
          <w:lang w:val="en-US"/>
        </w:rPr>
        <w:t xml:space="preserve">of </w:t>
      </w:r>
      <w:r w:rsidR="00E85294" w:rsidRPr="00B61EA9">
        <w:rPr>
          <w:rFonts w:ascii="Times New Roman" w:hAnsi="Times New Roman"/>
          <w:b/>
          <w:sz w:val="24"/>
          <w:szCs w:val="24"/>
          <w:lang w:val="en-US"/>
        </w:rPr>
        <w:t>sorted G03 patient-derived cell</w:t>
      </w:r>
      <w:r w:rsidR="005A7A5F" w:rsidRPr="00B61EA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7577E6" w:rsidRPr="00B61EA9">
        <w:rPr>
          <w:rFonts w:ascii="Times New Roman" w:hAnsi="Times New Roman"/>
          <w:sz w:val="24"/>
          <w:szCs w:val="24"/>
          <w:lang w:val="en-US"/>
        </w:rPr>
        <w:t xml:space="preserve">A, </w:t>
      </w:r>
      <w:r w:rsidR="00546C78" w:rsidRPr="00B61EA9">
        <w:rPr>
          <w:rFonts w:ascii="Times New Roman" w:hAnsi="Times New Roman"/>
          <w:sz w:val="24"/>
          <w:szCs w:val="24"/>
          <w:lang w:val="en-US"/>
        </w:rPr>
        <w:t>s</w:t>
      </w:r>
      <w:r w:rsidR="007577E6" w:rsidRPr="00B61EA9">
        <w:rPr>
          <w:rFonts w:ascii="Times New Roman" w:hAnsi="Times New Roman"/>
          <w:sz w:val="24"/>
          <w:szCs w:val="24"/>
          <w:lang w:val="en-US"/>
        </w:rPr>
        <w:t>ignificant differences in stem cell frequencies was observed between the patient-</w:t>
      </w:r>
      <w:r w:rsidR="007577E6">
        <w:rPr>
          <w:rFonts w:ascii="Times New Roman" w:hAnsi="Times New Roman"/>
          <w:sz w:val="24"/>
          <w:szCs w:val="24"/>
          <w:lang w:val="en-US"/>
        </w:rPr>
        <w:t xml:space="preserve">derived G03 cell line CD133+/+ </w:t>
      </w:r>
      <w:r w:rsidR="007577E6" w:rsidRPr="00E85294">
        <w:rPr>
          <w:rFonts w:ascii="Times New Roman" w:hAnsi="Times New Roman"/>
          <w:color w:val="000000" w:themeColor="text1"/>
          <w:sz w:val="24"/>
          <w:szCs w:val="24"/>
          <w:lang w:val="en-US"/>
        </w:rPr>
        <w:t>(1/</w:t>
      </w:r>
      <w:r w:rsidR="00E85294">
        <w:rPr>
          <w:rFonts w:ascii="Times New Roman" w:hAnsi="Times New Roman"/>
          <w:color w:val="000000" w:themeColor="text1"/>
          <w:sz w:val="24"/>
          <w:szCs w:val="24"/>
          <w:lang w:val="en-US"/>
        </w:rPr>
        <w:t>27.3</w:t>
      </w:r>
      <w:r w:rsidR="007577E6" w:rsidRPr="00E85294">
        <w:rPr>
          <w:rFonts w:ascii="Times New Roman" w:hAnsi="Times New Roman"/>
          <w:color w:val="000000" w:themeColor="text1"/>
          <w:sz w:val="24"/>
          <w:szCs w:val="24"/>
          <w:lang w:val="en-US"/>
        </w:rPr>
        <w:t>) and CD133-/- (1/</w:t>
      </w:r>
      <w:r w:rsidR="00E85294">
        <w:rPr>
          <w:rFonts w:ascii="Times New Roman" w:hAnsi="Times New Roman"/>
          <w:color w:val="000000" w:themeColor="text1"/>
          <w:sz w:val="24"/>
          <w:szCs w:val="24"/>
          <w:lang w:val="en-US"/>
        </w:rPr>
        <w:t>110.1)</w:t>
      </w:r>
      <w:r w:rsidR="007577E6" w:rsidRPr="00E8529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cells</w:t>
      </w:r>
      <w:r w:rsidR="00546C78" w:rsidRPr="00E8529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546C78" w:rsidRPr="00546C78">
        <w:rPr>
          <w:rFonts w:ascii="Times New Roman" w:hAnsi="Times New Roman"/>
          <w:sz w:val="24"/>
          <w:szCs w:val="24"/>
          <w:lang w:val="en-US"/>
        </w:rPr>
        <w:t>calculated using online Extreme Limiting Dilutions Assay (ELDA) analysis program</w:t>
      </w:r>
      <w:r w:rsidR="00E85294">
        <w:rPr>
          <w:rFonts w:ascii="Times New Roman" w:hAnsi="Times New Roman"/>
          <w:sz w:val="24"/>
          <w:szCs w:val="24"/>
          <w:lang w:val="en-US"/>
        </w:rPr>
        <w:t xml:space="preserve"> (p: 0.0007)</w:t>
      </w:r>
      <w:r w:rsidR="007577E6" w:rsidRPr="007577E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577E6" w:rsidRPr="007577E6">
        <w:rPr>
          <w:rFonts w:ascii="Times New Roman" w:hAnsi="Times New Roman"/>
          <w:color w:val="FF6600"/>
          <w:sz w:val="24"/>
          <w:szCs w:val="24"/>
          <w:lang w:val="en-US"/>
        </w:rPr>
        <w:t xml:space="preserve"> </w:t>
      </w:r>
      <w:r w:rsidR="007577E6">
        <w:rPr>
          <w:rFonts w:ascii="Times New Roman" w:hAnsi="Times New Roman"/>
          <w:sz w:val="24"/>
          <w:szCs w:val="24"/>
          <w:lang w:val="en-US"/>
        </w:rPr>
        <w:t>C</w:t>
      </w:r>
      <w:r w:rsidR="007577E6" w:rsidRPr="007577E6">
        <w:rPr>
          <w:rFonts w:ascii="Times New Roman" w:hAnsi="Times New Roman"/>
          <w:sz w:val="24"/>
          <w:szCs w:val="24"/>
          <w:lang w:val="en-US"/>
        </w:rPr>
        <w:t>,</w:t>
      </w:r>
      <w:r w:rsidR="007577E6" w:rsidRPr="007577E6">
        <w:rPr>
          <w:lang w:val="en-US"/>
        </w:rPr>
        <w:t xml:space="preserve"> </w:t>
      </w:r>
      <w:r w:rsidR="00546C78">
        <w:rPr>
          <w:rFonts w:ascii="Times New Roman" w:hAnsi="Times New Roman"/>
          <w:sz w:val="24"/>
          <w:szCs w:val="24"/>
          <w:lang w:val="en-US"/>
        </w:rPr>
        <w:t>c</w:t>
      </w:r>
      <w:r w:rsidR="007577E6" w:rsidRPr="007577E6">
        <w:rPr>
          <w:rFonts w:ascii="Times New Roman" w:hAnsi="Times New Roman"/>
          <w:sz w:val="24"/>
          <w:szCs w:val="24"/>
          <w:lang w:val="en-US"/>
        </w:rPr>
        <w:t xml:space="preserve">ell proliferation was measured by </w:t>
      </w:r>
      <w:r w:rsidR="007577E6">
        <w:rPr>
          <w:rFonts w:ascii="Times New Roman" w:hAnsi="Times New Roman"/>
          <w:sz w:val="24"/>
          <w:szCs w:val="24"/>
          <w:lang w:val="en-US"/>
        </w:rPr>
        <w:t xml:space="preserve">MTT assay </w:t>
      </w:r>
      <w:r w:rsidR="007577E6" w:rsidRPr="007577E6">
        <w:rPr>
          <w:rFonts w:ascii="Times New Roman" w:hAnsi="Times New Roman"/>
          <w:sz w:val="24"/>
          <w:szCs w:val="24"/>
          <w:lang w:val="en-US"/>
        </w:rPr>
        <w:t xml:space="preserve">of dissociated cells. </w:t>
      </w:r>
      <w:r w:rsidR="007577E6">
        <w:rPr>
          <w:rFonts w:ascii="Times New Roman" w:hAnsi="Times New Roman"/>
          <w:sz w:val="24"/>
          <w:szCs w:val="24"/>
          <w:lang w:val="en-US"/>
        </w:rPr>
        <w:t>P</w:t>
      </w:r>
      <w:r w:rsidR="007577E6" w:rsidRPr="007577E6">
        <w:rPr>
          <w:rFonts w:ascii="Times New Roman" w:hAnsi="Times New Roman"/>
          <w:sz w:val="24"/>
          <w:szCs w:val="24"/>
          <w:lang w:val="en-US"/>
        </w:rPr>
        <w:t xml:space="preserve">atient-derived G03 </w:t>
      </w:r>
      <w:r w:rsidR="007577E6">
        <w:rPr>
          <w:rFonts w:ascii="Times New Roman" w:hAnsi="Times New Roman"/>
          <w:sz w:val="24"/>
          <w:szCs w:val="24"/>
          <w:lang w:val="en-US"/>
        </w:rPr>
        <w:lastRenderedPageBreak/>
        <w:t>CD133+/+</w:t>
      </w:r>
      <w:r w:rsidR="007577E6" w:rsidRPr="007577E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77E6">
        <w:rPr>
          <w:rFonts w:ascii="Times New Roman" w:hAnsi="Times New Roman"/>
          <w:sz w:val="24"/>
          <w:szCs w:val="24"/>
          <w:lang w:val="en-US"/>
        </w:rPr>
        <w:t xml:space="preserve">cells </w:t>
      </w:r>
      <w:r w:rsidR="007577E6" w:rsidRPr="007577E6">
        <w:rPr>
          <w:rFonts w:ascii="Times New Roman" w:hAnsi="Times New Roman"/>
          <w:sz w:val="24"/>
          <w:szCs w:val="24"/>
          <w:lang w:val="en-US"/>
        </w:rPr>
        <w:t xml:space="preserve">showed significantly </w:t>
      </w:r>
      <w:r w:rsidR="00E85294">
        <w:rPr>
          <w:rFonts w:ascii="Times New Roman" w:hAnsi="Times New Roman"/>
          <w:sz w:val="24"/>
          <w:szCs w:val="24"/>
          <w:lang w:val="en-US"/>
        </w:rPr>
        <w:t>higher r</w:t>
      </w:r>
      <w:r w:rsidR="00E85294" w:rsidRPr="00E85294">
        <w:rPr>
          <w:rFonts w:ascii="Times New Roman" w:hAnsi="Times New Roman"/>
          <w:sz w:val="24"/>
          <w:szCs w:val="24"/>
          <w:lang w:val="en-US"/>
        </w:rPr>
        <w:t xml:space="preserve">elative cell number </w:t>
      </w:r>
      <w:r w:rsidR="00546C78">
        <w:rPr>
          <w:rFonts w:ascii="Times New Roman" w:hAnsi="Times New Roman"/>
          <w:sz w:val="24"/>
          <w:szCs w:val="24"/>
          <w:lang w:val="en-US"/>
        </w:rPr>
        <w:t>after 3 days</w:t>
      </w:r>
      <w:r w:rsidR="007577E6" w:rsidRPr="007577E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7577E6" w:rsidRPr="007577E6">
        <w:rPr>
          <w:rFonts w:ascii="Times New Roman" w:hAnsi="Times New Roman"/>
          <w:sz w:val="24"/>
          <w:szCs w:val="24"/>
          <w:lang w:val="en-US"/>
        </w:rPr>
        <w:t>**, P ≤ 0.005.</w:t>
      </w:r>
      <w:proofErr w:type="gramEnd"/>
      <w:r w:rsidR="007577E6" w:rsidRPr="007577E6">
        <w:rPr>
          <w:rFonts w:ascii="Times New Roman" w:hAnsi="Times New Roman"/>
          <w:sz w:val="24"/>
          <w:szCs w:val="24"/>
          <w:lang w:val="en-US"/>
        </w:rPr>
        <w:t xml:space="preserve"> Results are expressed as mean ± SEM of one representative experiment. </w:t>
      </w:r>
    </w:p>
    <w:p w:rsidR="008919C5" w:rsidRPr="003C33EF" w:rsidRDefault="008919C5" w:rsidP="00E67C11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1DF3" w:rsidRPr="00E67C11" w:rsidRDefault="00B61EA9">
      <w:pPr>
        <w:rPr>
          <w:lang w:val="en-US"/>
        </w:rPr>
      </w:pPr>
    </w:p>
    <w:sectPr w:rsidR="004C1DF3" w:rsidRPr="00E67C11" w:rsidSect="001842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11"/>
    <w:rsid w:val="00012EE7"/>
    <w:rsid w:val="00184296"/>
    <w:rsid w:val="00406C60"/>
    <w:rsid w:val="00484588"/>
    <w:rsid w:val="00546C78"/>
    <w:rsid w:val="005A7A5F"/>
    <w:rsid w:val="007577E6"/>
    <w:rsid w:val="0078124D"/>
    <w:rsid w:val="00784BC6"/>
    <w:rsid w:val="008919C5"/>
    <w:rsid w:val="00B151A6"/>
    <w:rsid w:val="00B61EA9"/>
    <w:rsid w:val="00E67C11"/>
    <w:rsid w:val="00E85294"/>
    <w:rsid w:val="00F50567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7C11"/>
  </w:style>
  <w:style w:type="character" w:styleId="Emphasis">
    <w:name w:val="Emphasis"/>
    <w:uiPriority w:val="20"/>
    <w:qFormat/>
    <w:rsid w:val="00E67C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7C11"/>
  </w:style>
  <w:style w:type="character" w:styleId="Emphasis">
    <w:name w:val="Emphasis"/>
    <w:uiPriority w:val="20"/>
    <w:qFormat/>
    <w:rsid w:val="00E67C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cpcastro</dc:creator>
  <cp:lastModifiedBy>cpcastro</cp:lastModifiedBy>
  <cp:revision>2</cp:revision>
  <dcterms:created xsi:type="dcterms:W3CDTF">2016-06-03T14:32:00Z</dcterms:created>
  <dcterms:modified xsi:type="dcterms:W3CDTF">2016-06-03T14:32:00Z</dcterms:modified>
</cp:coreProperties>
</file>