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  <w:b/>
          <w:bCs/>
        </w:rPr>
      </w:pPr>
      <w:r w:rsidRPr="00E12FF4">
        <w:rPr>
          <w:rFonts w:ascii="Arial" w:hAnsi="Arial" w:cs="Arial"/>
          <w:b/>
          <w:bCs/>
        </w:rPr>
        <w:t>SUPPLEMENTARY FIGURE LEGENDS</w:t>
      </w:r>
    </w:p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  <w:b/>
          <w:bCs/>
        </w:rPr>
      </w:pPr>
      <w:r w:rsidRPr="00E12FF4">
        <w:rPr>
          <w:rFonts w:ascii="Arial" w:hAnsi="Arial" w:cs="Arial"/>
          <w:b/>
          <w:bCs/>
        </w:rPr>
        <w:t xml:space="preserve">Figure S1. Dendrogram and probability values for hierarchical clustering of 105 neuroblastomas based on genome-wide DNA methylation. </w:t>
      </w:r>
    </w:p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</w:rPr>
      </w:pPr>
      <w:r w:rsidRPr="00E12FF4">
        <w:rPr>
          <w:rFonts w:ascii="Arial" w:hAnsi="Arial" w:cs="Arial"/>
          <w:bCs/>
        </w:rPr>
        <w:t>Red values at each knot represent approximately unbiased p-values (x100) from multiscale bootstrap resampling. </w:t>
      </w:r>
      <w:r w:rsidR="00CD55D0" w:rsidRPr="00E12FF4">
        <w:rPr>
          <w:rFonts w:ascii="Arial" w:hAnsi="Arial" w:cs="Arial"/>
        </w:rPr>
        <w:t xml:space="preserve">Cluster p-values indicate how strong the respective cluster is supported by data. </w:t>
      </w:r>
      <w:r w:rsidRPr="00E12FF4">
        <w:rPr>
          <w:rFonts w:ascii="Arial" w:hAnsi="Arial" w:cs="Arial"/>
        </w:rPr>
        <w:t>Based on hierarchical clustering with average linkage and non-centralized correlation distance function using the 1,000 most variable probes.</w:t>
      </w:r>
    </w:p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  <w:b/>
        </w:rPr>
      </w:pPr>
      <w:r w:rsidRPr="00E12FF4">
        <w:rPr>
          <w:rFonts w:ascii="Arial" w:hAnsi="Arial" w:cs="Arial"/>
          <w:b/>
          <w:bCs/>
        </w:rPr>
        <w:t>Figure S2.</w:t>
      </w:r>
      <w:r w:rsidRPr="00E12FF4">
        <w:rPr>
          <w:rFonts w:ascii="Arial" w:hAnsi="Arial" w:cs="Arial"/>
        </w:rPr>
        <w:t xml:space="preserve"> </w:t>
      </w:r>
      <w:r w:rsidRPr="00E12FF4">
        <w:rPr>
          <w:rFonts w:ascii="Arial" w:hAnsi="Arial" w:cs="Arial"/>
          <w:b/>
        </w:rPr>
        <w:t xml:space="preserve">Genome-wide DNA methylation patterns in neuroblastomas are associated with patient outcome. </w:t>
      </w:r>
    </w:p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</w:rPr>
      </w:pPr>
      <w:r w:rsidRPr="00E12FF4">
        <w:rPr>
          <w:rFonts w:ascii="Arial" w:hAnsi="Arial" w:cs="Arial"/>
        </w:rPr>
        <w:t>Kaplan-Meier estimates of overall survival for DNA methylation subgroup 2s versus the remaining cluster 2 patients and cluster 1 patients. Based on hierarchical clustering with average linkage and non-centralized correlation distance function using the 1,000 most variable probes.</w:t>
      </w:r>
    </w:p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</w:rPr>
      </w:pPr>
    </w:p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E12FF4">
        <w:rPr>
          <w:rFonts w:ascii="Arial" w:hAnsi="Arial" w:cs="Arial"/>
          <w:b/>
          <w:lang w:val="en-GB"/>
        </w:rPr>
        <w:t xml:space="preserve">Figure S3. </w:t>
      </w:r>
      <w:r w:rsidRPr="00E12FF4">
        <w:rPr>
          <w:rFonts w:ascii="Arial" w:hAnsi="Arial" w:cs="Arial"/>
          <w:b/>
        </w:rPr>
        <w:t xml:space="preserve">Genes whose </w:t>
      </w:r>
      <w:r w:rsidRPr="00E12FF4">
        <w:rPr>
          <w:rFonts w:ascii="Arial" w:hAnsi="Arial" w:cs="Arial"/>
          <w:b/>
          <w:lang w:val="en-GB"/>
        </w:rPr>
        <w:t xml:space="preserve">hypermethylation and downregulation are associated with neuroblastoma high-risk disease (HyperDownHR) are induced during neuronal differentiation of neuroblastoma cells. </w:t>
      </w:r>
    </w:p>
    <w:p w:rsidR="007057F0" w:rsidRPr="00E12FF4" w:rsidRDefault="007057F0" w:rsidP="001A337A">
      <w:pPr>
        <w:spacing w:line="480" w:lineRule="auto"/>
        <w:jc w:val="both"/>
        <w:rPr>
          <w:rFonts w:ascii="Arial" w:hAnsi="Arial" w:cs="Arial"/>
        </w:rPr>
      </w:pPr>
      <w:r w:rsidRPr="00E12FF4">
        <w:rPr>
          <w:rFonts w:ascii="Arial" w:hAnsi="Arial" w:cs="Arial"/>
          <w:lang w:val="en-GB"/>
        </w:rPr>
        <w:t xml:space="preserve">Time-dependent mean fold induction of 341 HyperDownHR genes in differentiating Be(2)-C cells after </w:t>
      </w:r>
      <w:r w:rsidRPr="00E12FF4">
        <w:rPr>
          <w:rFonts w:ascii="Arial" w:hAnsi="Arial" w:cs="Arial"/>
        </w:rPr>
        <w:t>all-trans retinoic acid (ATRA) treatment. Time points were 6h, 12h, 24h, 48h, 96h and 144h. E</w:t>
      </w:r>
      <w:r w:rsidRPr="00E12FF4">
        <w:rPr>
          <w:rFonts w:ascii="Arial" w:hAnsi="Arial" w:cs="Arial"/>
          <w:lang w:val="en-GB"/>
        </w:rPr>
        <w:t xml:space="preserve">xpression was measured using 44k arrays. </w:t>
      </w:r>
      <w:r w:rsidRPr="00E12FF4">
        <w:rPr>
          <w:rFonts w:ascii="Arial" w:hAnsi="Arial" w:cs="Arial"/>
        </w:rPr>
        <w:t xml:space="preserve">Reference for fold induction was solvent (ethanol) control at the respective time points. </w:t>
      </w:r>
    </w:p>
    <w:p w:rsidR="00521660" w:rsidRPr="00E12FF4" w:rsidRDefault="00521660" w:rsidP="001A337A">
      <w:pPr>
        <w:spacing w:line="480" w:lineRule="auto"/>
        <w:jc w:val="both"/>
        <w:rPr>
          <w:rFonts w:ascii="Arial" w:hAnsi="Arial" w:cs="Arial"/>
        </w:rPr>
      </w:pPr>
    </w:p>
    <w:p w:rsidR="00C36F7E" w:rsidRPr="00E12FF4" w:rsidRDefault="00521660" w:rsidP="001A337A">
      <w:pPr>
        <w:spacing w:line="480" w:lineRule="auto"/>
        <w:jc w:val="both"/>
        <w:rPr>
          <w:rFonts w:ascii="Arial" w:hAnsi="Arial" w:cs="Arial"/>
        </w:rPr>
      </w:pPr>
      <w:r w:rsidRPr="00E12FF4">
        <w:rPr>
          <w:rFonts w:ascii="Arial" w:hAnsi="Arial" w:cs="Arial"/>
          <w:b/>
        </w:rPr>
        <w:lastRenderedPageBreak/>
        <w:t xml:space="preserve">Figure S4. Examples </w:t>
      </w:r>
      <w:r w:rsidR="00943794" w:rsidRPr="00E12FF4">
        <w:rPr>
          <w:rFonts w:ascii="Arial" w:hAnsi="Arial" w:cs="Arial"/>
          <w:b/>
        </w:rPr>
        <w:t>for</w:t>
      </w:r>
      <w:r w:rsidRPr="00E12FF4">
        <w:rPr>
          <w:rFonts w:ascii="Arial" w:hAnsi="Arial" w:cs="Arial"/>
          <w:b/>
        </w:rPr>
        <w:t xml:space="preserve"> genes </w:t>
      </w:r>
      <w:r w:rsidR="00E14D53" w:rsidRPr="00E12FF4">
        <w:rPr>
          <w:rFonts w:ascii="Arial" w:hAnsi="Arial" w:cs="Arial"/>
          <w:b/>
        </w:rPr>
        <w:t xml:space="preserve">whose hypermethylation and downregulation are associated with neuroblastoma high-risk disease (HyperDownHR) </w:t>
      </w:r>
      <w:r w:rsidR="00C36F7E" w:rsidRPr="00E12FF4">
        <w:rPr>
          <w:rFonts w:ascii="Arial" w:hAnsi="Arial" w:cs="Arial"/>
          <w:b/>
        </w:rPr>
        <w:t xml:space="preserve">and </w:t>
      </w:r>
      <w:r w:rsidRPr="00E12FF4">
        <w:rPr>
          <w:rFonts w:ascii="Arial" w:hAnsi="Arial" w:cs="Arial"/>
          <w:b/>
        </w:rPr>
        <w:t>that are marked by both H3K27me3 and DNA methylation at putative regulatory regions in Be(2)-C</w:t>
      </w:r>
      <w:r w:rsidR="00943794" w:rsidRPr="00E12FF4">
        <w:rPr>
          <w:rFonts w:ascii="Arial" w:hAnsi="Arial" w:cs="Arial"/>
          <w:b/>
        </w:rPr>
        <w:t xml:space="preserve"> cells</w:t>
      </w:r>
      <w:r w:rsidRPr="00E12FF4">
        <w:rPr>
          <w:rFonts w:ascii="Arial" w:hAnsi="Arial" w:cs="Arial"/>
          <w:b/>
        </w:rPr>
        <w:t>.</w:t>
      </w:r>
      <w:r w:rsidRPr="00E12FF4">
        <w:rPr>
          <w:rFonts w:ascii="Arial" w:hAnsi="Arial" w:cs="Arial"/>
        </w:rPr>
        <w:t xml:space="preserve"> </w:t>
      </w:r>
    </w:p>
    <w:p w:rsidR="009B0B29" w:rsidRPr="00E12FF4" w:rsidRDefault="00521660" w:rsidP="001A337A">
      <w:pPr>
        <w:spacing w:line="480" w:lineRule="auto"/>
        <w:jc w:val="both"/>
        <w:rPr>
          <w:rFonts w:ascii="Arial" w:hAnsi="Arial" w:cs="Arial"/>
        </w:rPr>
      </w:pPr>
      <w:r w:rsidRPr="00E12FF4">
        <w:rPr>
          <w:rFonts w:ascii="Arial" w:hAnsi="Arial" w:cs="Arial"/>
        </w:rPr>
        <w:t xml:space="preserve">Gene locus plots show input normalized H3K27me3, H3K4me3, H3K27ac and H3K4me1 ChIP-seq profiles, putative </w:t>
      </w:r>
      <w:r w:rsidR="00A06915" w:rsidRPr="00E12FF4">
        <w:rPr>
          <w:rFonts w:ascii="Arial" w:hAnsi="Arial" w:cs="Arial"/>
        </w:rPr>
        <w:t xml:space="preserve">Be(2)-C </w:t>
      </w:r>
      <w:r w:rsidRPr="00E12FF4">
        <w:rPr>
          <w:rFonts w:ascii="Arial" w:hAnsi="Arial" w:cs="Arial"/>
        </w:rPr>
        <w:t xml:space="preserve">enhancers (defined in Materials and Methods) and </w:t>
      </w:r>
      <w:r w:rsidR="00E14D53" w:rsidRPr="00E12FF4">
        <w:rPr>
          <w:rFonts w:ascii="Arial" w:hAnsi="Arial" w:cs="Arial"/>
        </w:rPr>
        <w:t xml:space="preserve">DNA </w:t>
      </w:r>
      <w:r w:rsidR="00A06915" w:rsidRPr="00E12FF4">
        <w:rPr>
          <w:rFonts w:ascii="Arial" w:hAnsi="Arial" w:cs="Arial"/>
        </w:rPr>
        <w:t xml:space="preserve">methylation levels </w:t>
      </w:r>
      <w:r w:rsidR="00E14D53" w:rsidRPr="00E12FF4">
        <w:rPr>
          <w:rFonts w:ascii="Arial" w:hAnsi="Arial" w:cs="Arial"/>
        </w:rPr>
        <w:t>at</w:t>
      </w:r>
      <w:r w:rsidR="00A06915" w:rsidRPr="00E12FF4">
        <w:rPr>
          <w:rFonts w:ascii="Arial" w:hAnsi="Arial" w:cs="Arial"/>
        </w:rPr>
        <w:t xml:space="preserve"> </w:t>
      </w:r>
      <w:r w:rsidRPr="00E12FF4">
        <w:rPr>
          <w:rFonts w:ascii="Arial" w:hAnsi="Arial" w:cs="Arial"/>
        </w:rPr>
        <w:t xml:space="preserve"> </w:t>
      </w:r>
      <w:r w:rsidR="00A06915" w:rsidRPr="00E12FF4">
        <w:rPr>
          <w:rFonts w:ascii="Arial" w:hAnsi="Arial" w:cs="Arial"/>
        </w:rPr>
        <w:t xml:space="preserve">450k methylation array probes as </w:t>
      </w:r>
      <w:r w:rsidR="00BE2E0F" w:rsidRPr="00E12FF4">
        <w:rPr>
          <w:rFonts w:ascii="Arial" w:hAnsi="Arial" w:cs="Arial"/>
        </w:rPr>
        <w:t>represented</w:t>
      </w:r>
      <w:r w:rsidR="00A06915" w:rsidRPr="00E12FF4">
        <w:rPr>
          <w:rFonts w:ascii="Arial" w:hAnsi="Arial" w:cs="Arial"/>
        </w:rPr>
        <w:t xml:space="preserve"> </w:t>
      </w:r>
      <w:r w:rsidR="00BE2E0F" w:rsidRPr="00E12FF4">
        <w:rPr>
          <w:rFonts w:ascii="Arial" w:hAnsi="Arial" w:cs="Arial"/>
        </w:rPr>
        <w:t xml:space="preserve">with the color scale depicted. H3K27me3 coverage is associated with promoter methylation of </w:t>
      </w:r>
      <w:r w:rsidR="00BE2E0F" w:rsidRPr="00E12FF4">
        <w:rPr>
          <w:rFonts w:ascii="Arial" w:hAnsi="Arial" w:cs="Arial"/>
          <w:b/>
        </w:rPr>
        <w:t>(A)</w:t>
      </w:r>
      <w:r w:rsidR="00BE2E0F" w:rsidRPr="00E12FF4">
        <w:rPr>
          <w:rFonts w:ascii="Arial" w:hAnsi="Arial" w:cs="Arial"/>
        </w:rPr>
        <w:t xml:space="preserve"> </w:t>
      </w:r>
      <w:r w:rsidR="00BE2E0F" w:rsidRPr="00E12FF4">
        <w:rPr>
          <w:rFonts w:ascii="Arial" w:hAnsi="Arial" w:cs="Arial"/>
          <w:i/>
        </w:rPr>
        <w:t>HENMT1</w:t>
      </w:r>
      <w:r w:rsidR="00BE2E0F" w:rsidRPr="00E12FF4">
        <w:rPr>
          <w:rFonts w:ascii="Arial" w:hAnsi="Arial" w:cs="Arial"/>
        </w:rPr>
        <w:t xml:space="preserve"> </w:t>
      </w:r>
      <w:r w:rsidR="00E14D53" w:rsidRPr="00E12FF4">
        <w:rPr>
          <w:rFonts w:ascii="Arial" w:hAnsi="Arial" w:cs="Arial"/>
        </w:rPr>
        <w:t xml:space="preserve">and intragenic enhancer methylation of </w:t>
      </w:r>
      <w:r w:rsidR="00E14D53" w:rsidRPr="00E12FF4">
        <w:rPr>
          <w:rFonts w:ascii="Arial" w:hAnsi="Arial" w:cs="Arial"/>
          <w:b/>
        </w:rPr>
        <w:t>(B)</w:t>
      </w:r>
      <w:r w:rsidR="00E14D53" w:rsidRPr="00E12FF4">
        <w:rPr>
          <w:rFonts w:ascii="Arial" w:hAnsi="Arial" w:cs="Arial"/>
        </w:rPr>
        <w:t xml:space="preserve"> </w:t>
      </w:r>
      <w:r w:rsidR="00E14D53" w:rsidRPr="00E12FF4">
        <w:rPr>
          <w:rFonts w:ascii="Arial" w:hAnsi="Arial" w:cs="Arial"/>
          <w:i/>
        </w:rPr>
        <w:t>SPOCK2</w:t>
      </w:r>
      <w:r w:rsidR="00E14D53" w:rsidRPr="00E12FF4">
        <w:rPr>
          <w:rFonts w:ascii="Arial" w:hAnsi="Arial" w:cs="Arial"/>
        </w:rPr>
        <w:t xml:space="preserve"> and </w:t>
      </w:r>
      <w:r w:rsidR="00E14D53" w:rsidRPr="00E12FF4">
        <w:rPr>
          <w:rFonts w:ascii="Arial" w:hAnsi="Arial" w:cs="Arial"/>
          <w:b/>
        </w:rPr>
        <w:t>(C)</w:t>
      </w:r>
      <w:r w:rsidR="00E14D53" w:rsidRPr="00E12FF4">
        <w:rPr>
          <w:rFonts w:ascii="Arial" w:hAnsi="Arial" w:cs="Arial"/>
        </w:rPr>
        <w:t xml:space="preserve"> </w:t>
      </w:r>
      <w:r w:rsidR="00E14D53" w:rsidRPr="00E12FF4">
        <w:rPr>
          <w:rFonts w:ascii="Arial" w:hAnsi="Arial" w:cs="Arial"/>
          <w:i/>
        </w:rPr>
        <w:t>SLC18A2</w:t>
      </w:r>
      <w:r w:rsidR="00E14D53" w:rsidRPr="00E12FF4">
        <w:rPr>
          <w:rFonts w:ascii="Arial" w:hAnsi="Arial" w:cs="Arial"/>
        </w:rPr>
        <w:t>.</w:t>
      </w:r>
    </w:p>
    <w:p w:rsidR="00D17D7D" w:rsidRPr="00E12FF4" w:rsidRDefault="00014802" w:rsidP="001A337A">
      <w:pPr>
        <w:pStyle w:val="Text"/>
        <w:spacing w:line="48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</w:pPr>
      <w:r w:rsidRPr="00E12FF4"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  <w:t>Figure S</w:t>
      </w:r>
      <w:r w:rsidR="00480D4A" w:rsidRPr="00E12FF4"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  <w:t>5</w:t>
      </w:r>
      <w:r w:rsidRPr="00E12FF4"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  <w:t xml:space="preserve">. </w:t>
      </w:r>
      <w:r w:rsidR="00425DA2" w:rsidRPr="00E12FF4"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  <w:t>MYCN deregulation is associated with activation of PRC2 components.</w:t>
      </w:r>
    </w:p>
    <w:p w:rsidR="00014802" w:rsidRPr="00E12FF4" w:rsidRDefault="00D17D7D" w:rsidP="001A337A">
      <w:pPr>
        <w:pStyle w:val="Text"/>
        <w:spacing w:line="48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</w:pPr>
      <w:r w:rsidRPr="00E12FF4">
        <w:rPr>
          <w:rFonts w:ascii="Arial" w:hAnsi="Arial" w:cs="Arial"/>
          <w:b/>
          <w:color w:val="auto"/>
          <w:sz w:val="24"/>
          <w:szCs w:val="24"/>
          <w:lang w:val="en-GB"/>
        </w:rPr>
        <w:t>(A)</w:t>
      </w:r>
      <w:r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8E305C" w:rsidRPr="00E12FF4">
        <w:rPr>
          <w:rFonts w:ascii="Arial" w:hAnsi="Arial" w:cs="Arial"/>
          <w:color w:val="auto"/>
          <w:sz w:val="24"/>
          <w:szCs w:val="24"/>
          <w:lang w:val="en-GB"/>
        </w:rPr>
        <w:t>Hierarchical clustering of 498 neuroblastomas</w:t>
      </w:r>
      <w:r w:rsidR="00E647B8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by average linkage and Euclidian distance function based on expression of </w:t>
      </w:r>
      <w:r w:rsidR="008E305C" w:rsidRPr="00E12FF4">
        <w:rPr>
          <w:rFonts w:ascii="Arial" w:hAnsi="Arial" w:cs="Arial"/>
          <w:color w:val="auto"/>
          <w:sz w:val="24"/>
          <w:szCs w:val="24"/>
          <w:lang w:val="en-GB"/>
        </w:rPr>
        <w:t>PRC2 core component</w:t>
      </w:r>
      <w:r w:rsidR="00E647B8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encoding genes</w:t>
      </w:r>
      <w:r w:rsidR="009467BF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(RNA-seq, z-scores)</w:t>
      </w:r>
      <w:r w:rsidR="008E305C" w:rsidRPr="00E12FF4">
        <w:rPr>
          <w:rFonts w:ascii="Arial" w:hAnsi="Arial" w:cs="Arial"/>
          <w:color w:val="auto"/>
          <w:sz w:val="24"/>
          <w:szCs w:val="24"/>
          <w:lang w:val="en-GB"/>
        </w:rPr>
        <w:t>.</w:t>
      </w:r>
      <w:r w:rsidR="00E647B8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9467BF" w:rsidRPr="00E12FF4">
        <w:rPr>
          <w:rFonts w:ascii="Arial" w:hAnsi="Arial" w:cs="Arial"/>
          <w:color w:val="auto"/>
          <w:sz w:val="24"/>
          <w:szCs w:val="24"/>
          <w:lang w:val="en-GB"/>
        </w:rPr>
        <w:t>MYCN status is indicated for each sample (</w:t>
      </w:r>
      <w:r w:rsidR="002E3BFF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red: MYCN-amplified, green: MYCN-nonamplified, white: unknown). </w:t>
      </w:r>
      <w:r w:rsidR="0050184D" w:rsidRPr="00E12FF4">
        <w:rPr>
          <w:rFonts w:ascii="Arial" w:hAnsi="Arial" w:cs="Arial"/>
          <w:color w:val="auto"/>
          <w:sz w:val="24"/>
          <w:szCs w:val="24"/>
          <w:lang w:val="en-GB"/>
        </w:rPr>
        <w:t>Expression levels of individual genes are</w:t>
      </w:r>
      <w:r w:rsidR="002E3BFF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represented with the color scale depicted.</w:t>
      </w:r>
      <w:r w:rsidR="0050184D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Average </w:t>
      </w:r>
      <w:r w:rsidR="00616A72" w:rsidRPr="00E12FF4">
        <w:rPr>
          <w:rFonts w:ascii="Arial" w:hAnsi="Arial" w:cs="Arial"/>
          <w:color w:val="auto"/>
          <w:sz w:val="24"/>
          <w:szCs w:val="24"/>
          <w:lang w:val="en-GB"/>
        </w:rPr>
        <w:t>PRC2 component expression is represented by a red-white-blue scale with red indicating highest and blue lowest expression.</w:t>
      </w:r>
      <w:r w:rsidR="001E437D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E437D" w:rsidRPr="00E12FF4">
        <w:rPr>
          <w:rFonts w:ascii="Arial" w:hAnsi="Arial" w:cs="Arial"/>
          <w:b/>
          <w:color w:val="auto"/>
          <w:sz w:val="24"/>
          <w:szCs w:val="24"/>
          <w:lang w:val="en-GB"/>
        </w:rPr>
        <w:t>(B)</w:t>
      </w:r>
      <w:r w:rsidR="001E437D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Expression of the PRC2 core component encoding genes </w:t>
      </w:r>
      <w:r w:rsidR="001E437D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>RBBP7</w:t>
      </w:r>
      <w:r w:rsidR="001E437D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="001E437D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>EZH2</w:t>
      </w:r>
      <w:r w:rsidR="001E437D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, and </w:t>
      </w:r>
      <w:r w:rsidR="001E437D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 xml:space="preserve">EED </w:t>
      </w:r>
      <w:r w:rsidR="001E437D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in 493 primary neuroblastomas dependent on </w:t>
      </w:r>
      <w:r w:rsidR="001E437D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>MYCN</w:t>
      </w:r>
      <w:r w:rsidR="001E437D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status</w:t>
      </w:r>
      <w:r w:rsidR="0013195F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(RNA-seq)</w:t>
      </w:r>
      <w:r w:rsidR="001E437D" w:rsidRPr="00E12FF4">
        <w:rPr>
          <w:rFonts w:ascii="Arial" w:hAnsi="Arial" w:cs="Arial"/>
          <w:color w:val="auto"/>
          <w:sz w:val="24"/>
          <w:szCs w:val="24"/>
          <w:lang w:val="en-GB"/>
        </w:rPr>
        <w:t>.</w:t>
      </w:r>
      <w:r w:rsidR="00817511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P-values were calculated by ANOVA tests.</w:t>
      </w:r>
      <w:r w:rsidR="00A00679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817511" w:rsidRPr="00E12FF4">
        <w:rPr>
          <w:rFonts w:ascii="Arial" w:hAnsi="Arial" w:cs="Arial"/>
          <w:b/>
          <w:color w:val="auto"/>
          <w:sz w:val="24"/>
          <w:szCs w:val="24"/>
          <w:lang w:val="en-GB"/>
        </w:rPr>
        <w:t>(C)</w:t>
      </w:r>
      <w:r w:rsidR="00817511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Expression of the PRC2 core component encoding genes </w:t>
      </w:r>
      <w:r w:rsidR="00817511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>RBBP7</w:t>
      </w:r>
      <w:r w:rsidR="00817511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="00817511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>EZH2</w:t>
      </w:r>
      <w:r w:rsidR="00817511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, and </w:t>
      </w:r>
      <w:r w:rsidR="00817511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 xml:space="preserve">EED </w:t>
      </w:r>
      <w:r w:rsidR="00817511" w:rsidRPr="00E12FF4">
        <w:rPr>
          <w:rFonts w:ascii="Arial" w:hAnsi="Arial" w:cs="Arial"/>
          <w:color w:val="auto"/>
          <w:sz w:val="24"/>
          <w:szCs w:val="24"/>
          <w:lang w:val="en-GB"/>
        </w:rPr>
        <w:t>in</w:t>
      </w:r>
      <w:r w:rsidR="00490EC5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synchronized</w:t>
      </w:r>
      <w:r w:rsidR="00817511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 xml:space="preserve"> </w:t>
      </w:r>
      <w:r w:rsidR="00CB191B" w:rsidRPr="00E12FF4">
        <w:rPr>
          <w:rFonts w:ascii="Arial" w:hAnsi="Arial" w:cs="Arial"/>
          <w:i/>
          <w:color w:val="auto"/>
          <w:sz w:val="24"/>
          <w:szCs w:val="24"/>
          <w:lang w:val="en-GB"/>
        </w:rPr>
        <w:t>MYCN-</w:t>
      </w:r>
      <w:r w:rsidR="00CB191B" w:rsidRPr="00E12FF4">
        <w:rPr>
          <w:rFonts w:ascii="Arial" w:hAnsi="Arial" w:cs="Arial"/>
          <w:color w:val="auto"/>
          <w:sz w:val="24"/>
          <w:szCs w:val="24"/>
          <w:lang w:val="en-GB"/>
        </w:rPr>
        <w:t>amplified IMR5-75</w:t>
      </w:r>
      <w:r w:rsidR="00490EC5" w:rsidRPr="00E12FF4">
        <w:rPr>
          <w:rFonts w:ascii="Arial" w:hAnsi="Arial" w:cs="Arial"/>
          <w:color w:val="auto"/>
          <w:sz w:val="24"/>
          <w:szCs w:val="24"/>
          <w:lang w:val="en-GB"/>
        </w:rPr>
        <w:t xml:space="preserve"> cells</w:t>
      </w:r>
      <w:r w:rsidR="00490EC5"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 xml:space="preserve"> with and without shRNA-mediated MYCN knockdown (MYCN high vs. MYCN low). The predominant cell cycle phase </w:t>
      </w:r>
      <w:r w:rsidR="00A8024E"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>after thymidine block release is given.</w:t>
      </w:r>
      <w:r w:rsidR="009651EB"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 xml:space="preserve"> </w:t>
      </w:r>
      <w:r w:rsidR="00503C2F"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 xml:space="preserve">Arrows depict </w:t>
      </w:r>
      <w:r w:rsidR="00503C2F"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lastRenderedPageBreak/>
        <w:t xml:space="preserve">diverging predominant cell cycle phases in MYCN high vs. MYCN low. </w:t>
      </w:r>
      <w:r w:rsidR="00A00679"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>Adjusted p-values were calculated by likelihood ratio test.</w:t>
      </w:r>
      <w:r w:rsidR="009651EB"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 xml:space="preserve"> </w:t>
      </w:r>
    </w:p>
    <w:p w:rsidR="001A337A" w:rsidRPr="00E12FF4" w:rsidRDefault="001A337A" w:rsidP="001A337A">
      <w:pPr>
        <w:pStyle w:val="Text"/>
        <w:spacing w:line="48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</w:pPr>
    </w:p>
    <w:p w:rsidR="001A337A" w:rsidRPr="00E12FF4" w:rsidRDefault="001A337A" w:rsidP="001A337A">
      <w:pPr>
        <w:pStyle w:val="Text"/>
        <w:spacing w:line="48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</w:pPr>
      <w:r w:rsidRPr="00E12FF4">
        <w:rPr>
          <w:rFonts w:ascii="Arial" w:eastAsia="Times New Roman" w:hAnsi="Arial" w:cs="Arial"/>
          <w:b/>
          <w:color w:val="auto"/>
          <w:sz w:val="24"/>
          <w:szCs w:val="24"/>
          <w:lang w:val="en-GB"/>
        </w:rPr>
        <w:t>Figure S6. Genes whose hypermethylation and downregulation are associated with high-risk disease (HyperDownHR) are H3K27me3-marked in a MYCN-</w:t>
      </w:r>
      <w:r w:rsidRPr="00E12FF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dependent fashion.</w:t>
      </w:r>
      <w:r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 xml:space="preserve"> </w:t>
      </w:r>
    </w:p>
    <w:p w:rsidR="001A337A" w:rsidRPr="00E12FF4" w:rsidRDefault="001A337A" w:rsidP="001A337A">
      <w:pPr>
        <w:pStyle w:val="Text"/>
        <w:spacing w:line="48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</w:pPr>
      <w:r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 xml:space="preserve">Composite H3K27me3 profile of HyperDownHR genes vs. genome-wide gene-associated H3K27me3 occupancy in </w:t>
      </w:r>
      <w:r w:rsidRPr="00E12FF4">
        <w:rPr>
          <w:rFonts w:ascii="Arial" w:eastAsia="Times New Roman" w:hAnsi="Arial" w:cs="Arial"/>
          <w:bCs/>
          <w:i/>
          <w:color w:val="auto"/>
          <w:sz w:val="24"/>
          <w:szCs w:val="24"/>
          <w:lang w:val="en-US"/>
        </w:rPr>
        <w:t>MYCN</w:t>
      </w:r>
      <w:r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>-amplified IMR5-75 cells with and without shRNA-mediated MYCN knockdown (MYCN high vs. MYCN low)</w:t>
      </w:r>
      <w:r w:rsidR="00F027D0" w:rsidRPr="00E12FF4">
        <w:rPr>
          <w:rFonts w:ascii="Arial" w:hAnsi="Arial" w:cs="Arial"/>
          <w:color w:val="auto"/>
          <w:sz w:val="24"/>
          <w:szCs w:val="24"/>
          <w:lang w:val="en-US"/>
        </w:rPr>
        <w:t xml:space="preserve"> with respect to transcription start site (TSS) and transcription termination site (TTS)</w:t>
      </w:r>
      <w:r w:rsidRPr="00E12FF4"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>.</w:t>
      </w:r>
    </w:p>
    <w:p w:rsidR="00943794" w:rsidRPr="00E12FF4" w:rsidRDefault="009B0B29" w:rsidP="001A337A">
      <w:pPr>
        <w:spacing w:line="480" w:lineRule="auto"/>
        <w:jc w:val="both"/>
        <w:rPr>
          <w:rFonts w:ascii="Arial" w:hAnsi="Arial" w:cs="Arial"/>
        </w:rPr>
      </w:pPr>
      <w:r w:rsidRPr="00E12FF4">
        <w:rPr>
          <w:rFonts w:ascii="Arial" w:hAnsi="Arial" w:cs="Arial"/>
          <w:b/>
          <w:lang w:val="en-GB"/>
        </w:rPr>
        <w:t>Figure S</w:t>
      </w:r>
      <w:r w:rsidR="00943794" w:rsidRPr="00E12FF4">
        <w:rPr>
          <w:rFonts w:ascii="Arial" w:hAnsi="Arial" w:cs="Arial"/>
          <w:b/>
          <w:lang w:val="en-GB"/>
        </w:rPr>
        <w:t>7</w:t>
      </w:r>
      <w:r w:rsidRPr="00E12FF4">
        <w:rPr>
          <w:rFonts w:ascii="Arial" w:hAnsi="Arial" w:cs="Arial"/>
          <w:b/>
          <w:lang w:val="en-GB"/>
        </w:rPr>
        <w:t xml:space="preserve">. </w:t>
      </w:r>
      <w:r w:rsidR="00943794" w:rsidRPr="00E12FF4">
        <w:rPr>
          <w:rFonts w:ascii="Arial" w:hAnsi="Arial" w:cs="Arial"/>
          <w:b/>
        </w:rPr>
        <w:t xml:space="preserve">Example for genes whose hypermethylation and downregulation are associated with neuroblastoma high-risk disease (HyperDownHR) that </w:t>
      </w:r>
      <w:r w:rsidR="00D735B3" w:rsidRPr="00E12FF4">
        <w:rPr>
          <w:rFonts w:ascii="Arial" w:hAnsi="Arial" w:cs="Arial"/>
          <w:b/>
        </w:rPr>
        <w:t xml:space="preserve">significantly </w:t>
      </w:r>
      <w:r w:rsidR="00943794" w:rsidRPr="00E12FF4">
        <w:rPr>
          <w:rFonts w:ascii="Arial" w:hAnsi="Arial" w:cs="Arial"/>
          <w:b/>
        </w:rPr>
        <w:t>lo</w:t>
      </w:r>
      <w:r w:rsidR="00673CF8" w:rsidRPr="00E12FF4">
        <w:rPr>
          <w:rFonts w:ascii="Arial" w:hAnsi="Arial" w:cs="Arial"/>
          <w:b/>
        </w:rPr>
        <w:t>st</w:t>
      </w:r>
      <w:r w:rsidR="00943794" w:rsidRPr="00E12FF4">
        <w:rPr>
          <w:rFonts w:ascii="Arial" w:hAnsi="Arial" w:cs="Arial"/>
          <w:b/>
        </w:rPr>
        <w:t xml:space="preserve"> H3K27me3 and DNA methylation at putative regulatory regions upon treatment with DAC and EPZ-6438</w:t>
      </w:r>
      <w:r w:rsidR="00ED509F" w:rsidRPr="00E12FF4">
        <w:rPr>
          <w:rFonts w:ascii="Arial" w:hAnsi="Arial" w:cs="Arial"/>
          <w:b/>
        </w:rPr>
        <w:t xml:space="preserve"> in Be(2)-C cells</w:t>
      </w:r>
      <w:r w:rsidR="00943794" w:rsidRPr="00E12FF4">
        <w:rPr>
          <w:rFonts w:ascii="Arial" w:hAnsi="Arial" w:cs="Arial"/>
          <w:b/>
        </w:rPr>
        <w:t>.</w:t>
      </w:r>
      <w:r w:rsidR="00943794" w:rsidRPr="00E12FF4">
        <w:rPr>
          <w:rFonts w:ascii="Arial" w:hAnsi="Arial" w:cs="Arial"/>
        </w:rPr>
        <w:t xml:space="preserve"> </w:t>
      </w:r>
    </w:p>
    <w:p w:rsidR="00943794" w:rsidRPr="00E12FF4" w:rsidRDefault="00943794" w:rsidP="001A337A">
      <w:pPr>
        <w:spacing w:line="480" w:lineRule="auto"/>
        <w:jc w:val="both"/>
        <w:rPr>
          <w:rFonts w:ascii="Arial" w:hAnsi="Arial" w:cs="Arial"/>
        </w:rPr>
      </w:pPr>
      <w:r w:rsidRPr="00E12FF4">
        <w:rPr>
          <w:rFonts w:ascii="Arial" w:hAnsi="Arial" w:cs="Arial"/>
        </w:rPr>
        <w:t>Gene locus plot</w:t>
      </w:r>
      <w:r w:rsidR="0008673D" w:rsidRPr="00E12FF4">
        <w:rPr>
          <w:rFonts w:ascii="Arial" w:hAnsi="Arial" w:cs="Arial"/>
        </w:rPr>
        <w:t xml:space="preserve"> for </w:t>
      </w:r>
      <w:r w:rsidR="0008673D" w:rsidRPr="00E12FF4">
        <w:rPr>
          <w:rFonts w:ascii="Arial" w:hAnsi="Arial" w:cs="Arial"/>
          <w:i/>
        </w:rPr>
        <w:t>DPP6</w:t>
      </w:r>
      <w:r w:rsidR="0008673D" w:rsidRPr="00E12FF4">
        <w:rPr>
          <w:rFonts w:ascii="Arial" w:hAnsi="Arial" w:cs="Arial"/>
        </w:rPr>
        <w:t xml:space="preserve">, which is significantly induced upon DAC/EPZ-6438 combination treatment (p=0.025). </w:t>
      </w:r>
      <w:r w:rsidR="00ED509F" w:rsidRPr="00E12FF4">
        <w:rPr>
          <w:rFonts w:ascii="Arial" w:hAnsi="Arial" w:cs="Arial"/>
        </w:rPr>
        <w:t>I</w:t>
      </w:r>
      <w:r w:rsidRPr="00E12FF4">
        <w:rPr>
          <w:rFonts w:ascii="Arial" w:hAnsi="Arial" w:cs="Arial"/>
        </w:rPr>
        <w:t xml:space="preserve">nput normalized H3K27me3 ChIP-seq profiles, putative Be(2)-C enhancers (defined in Materials and Methods) and DNA methylation levels at  450k methylation array probes as represented with the color scale </w:t>
      </w:r>
      <w:r w:rsidR="00ED509F" w:rsidRPr="00E12FF4">
        <w:rPr>
          <w:rFonts w:ascii="Arial" w:hAnsi="Arial" w:cs="Arial"/>
        </w:rPr>
        <w:t>are depicted</w:t>
      </w:r>
      <w:r w:rsidRPr="00E12FF4">
        <w:rPr>
          <w:rFonts w:ascii="Arial" w:hAnsi="Arial" w:cs="Arial"/>
        </w:rPr>
        <w:t xml:space="preserve">. Only </w:t>
      </w:r>
      <w:r w:rsidR="00ED509F" w:rsidRPr="00E12FF4">
        <w:rPr>
          <w:rFonts w:ascii="Arial" w:hAnsi="Arial" w:cs="Arial"/>
        </w:rPr>
        <w:t xml:space="preserve">450k methylation array probes representing </w:t>
      </w:r>
      <w:r w:rsidRPr="00E12FF4">
        <w:rPr>
          <w:rFonts w:ascii="Arial" w:hAnsi="Arial" w:cs="Arial"/>
        </w:rPr>
        <w:t xml:space="preserve">differential methylation are shown. </w:t>
      </w:r>
    </w:p>
    <w:p w:rsidR="00943794" w:rsidRPr="00E12FF4" w:rsidRDefault="00943794" w:rsidP="001A337A">
      <w:pPr>
        <w:spacing w:line="480" w:lineRule="auto"/>
        <w:jc w:val="both"/>
        <w:rPr>
          <w:rFonts w:ascii="Arial" w:hAnsi="Arial" w:cs="Arial"/>
        </w:rPr>
      </w:pPr>
    </w:p>
    <w:p w:rsidR="00DE30DE" w:rsidRPr="00E12FF4" w:rsidRDefault="00DE30DE" w:rsidP="001A337A">
      <w:pPr>
        <w:spacing w:line="480" w:lineRule="auto"/>
        <w:jc w:val="both"/>
        <w:rPr>
          <w:rFonts w:ascii="Arial" w:hAnsi="Arial" w:cs="Arial"/>
        </w:rPr>
      </w:pPr>
      <w:r w:rsidRPr="00E12FF4">
        <w:rPr>
          <w:rFonts w:ascii="Arial" w:hAnsi="Arial" w:cs="Arial"/>
          <w:b/>
          <w:lang w:val="en-GB"/>
        </w:rPr>
        <w:t>Figure S</w:t>
      </w:r>
      <w:r w:rsidR="005169C3" w:rsidRPr="00E12FF4">
        <w:rPr>
          <w:rFonts w:ascii="Arial" w:hAnsi="Arial" w:cs="Arial"/>
          <w:b/>
          <w:lang w:val="en-GB"/>
        </w:rPr>
        <w:t>8</w:t>
      </w:r>
      <w:r w:rsidRPr="00E12FF4">
        <w:rPr>
          <w:rFonts w:ascii="Arial" w:hAnsi="Arial" w:cs="Arial"/>
          <w:b/>
          <w:lang w:val="en-GB"/>
        </w:rPr>
        <w:t xml:space="preserve">. Genes whose hypermethylation and downregulation are associated with high-risk disease (HyperDownHR) are preferentially induced upon DAC/TSA </w:t>
      </w:r>
      <w:r w:rsidRPr="00E12FF4">
        <w:rPr>
          <w:rFonts w:ascii="Arial" w:hAnsi="Arial" w:cs="Arial"/>
          <w:b/>
          <w:lang w:val="en-GB"/>
        </w:rPr>
        <w:lastRenderedPageBreak/>
        <w:t>treatment.</w:t>
      </w:r>
      <w:r w:rsidRPr="00E12FF4">
        <w:rPr>
          <w:rFonts w:ascii="Arial" w:hAnsi="Arial" w:cs="Arial"/>
        </w:rPr>
        <w:t xml:space="preserve"> </w:t>
      </w:r>
      <w:r w:rsidRPr="00E12FF4">
        <w:rPr>
          <w:rFonts w:ascii="Arial" w:hAnsi="Arial" w:cs="Arial"/>
          <w:b/>
        </w:rPr>
        <w:t xml:space="preserve">(bottom) </w:t>
      </w:r>
      <w:r w:rsidRPr="00E12FF4">
        <w:rPr>
          <w:rFonts w:ascii="Arial" w:hAnsi="Arial" w:cs="Arial"/>
        </w:rPr>
        <w:t xml:space="preserve">graphical representation of moderated t-statistics for differential gene expression upon DAC / trichostatin A (TSA) treatment across 17 neuroblastoma cell lines (Duijkers et al., 2013). Positive values indicate induction upon treatment, negative values indicate repression. Black lines indicate moderated t-statistics for HyperDownHR genes within the range of moderated t-statistics for all genes represented on the array (grey). </w:t>
      </w:r>
      <w:r w:rsidRPr="00E12FF4">
        <w:rPr>
          <w:rFonts w:ascii="Arial" w:hAnsi="Arial" w:cs="Arial"/>
          <w:b/>
        </w:rPr>
        <w:t>(top)</w:t>
      </w:r>
      <w:r w:rsidRPr="00E12FF4">
        <w:rPr>
          <w:rFonts w:ascii="Arial" w:hAnsi="Arial" w:cs="Arial"/>
        </w:rPr>
        <w:t xml:space="preserve"> Smoothed local frequency graph illustrating enrichment of the HyperDownHR gene set among </w:t>
      </w:r>
      <w:r w:rsidR="006405E4" w:rsidRPr="00E12FF4">
        <w:rPr>
          <w:rFonts w:ascii="Arial" w:hAnsi="Arial" w:cs="Arial"/>
        </w:rPr>
        <w:t>DAC/TSA</w:t>
      </w:r>
      <w:r w:rsidRPr="00E12FF4">
        <w:rPr>
          <w:rFonts w:ascii="Arial" w:hAnsi="Arial" w:cs="Arial"/>
        </w:rPr>
        <w:t>-induced genes (camera procedure: p=0.039). For moderated t-statistics of individual genes see Table S</w:t>
      </w:r>
      <w:r w:rsidR="00E646DC" w:rsidRPr="00E12FF4">
        <w:rPr>
          <w:rFonts w:ascii="Arial" w:hAnsi="Arial" w:cs="Arial"/>
        </w:rPr>
        <w:t>8</w:t>
      </w:r>
      <w:r w:rsidRPr="00E12FF4">
        <w:rPr>
          <w:rFonts w:ascii="Arial" w:hAnsi="Arial" w:cs="Arial"/>
        </w:rPr>
        <w:t xml:space="preserve">. </w:t>
      </w:r>
    </w:p>
    <w:p w:rsidR="00830AC4" w:rsidRPr="00E12FF4" w:rsidRDefault="00830AC4" w:rsidP="001A337A">
      <w:pPr>
        <w:spacing w:line="48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830AC4" w:rsidRPr="00E12FF4" w:rsidSect="00051987">
      <w:footerReference w:type="default" r:id="rId7"/>
      <w:pgSz w:w="12240" w:h="15840"/>
      <w:pgMar w:top="1411" w:right="1411" w:bottom="1138" w:left="1411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D1" w:rsidRDefault="005D16D1" w:rsidP="00AF243F">
      <w:r>
        <w:separator/>
      </w:r>
    </w:p>
  </w:endnote>
  <w:endnote w:type="continuationSeparator" w:id="0">
    <w:p w:rsidR="005D16D1" w:rsidRDefault="005D16D1" w:rsidP="00AF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86819"/>
      <w:docPartObj>
        <w:docPartGallery w:val="Page Numbers (Bottom of Page)"/>
        <w:docPartUnique/>
      </w:docPartObj>
    </w:sdtPr>
    <w:sdtEndPr/>
    <w:sdtContent>
      <w:p w:rsidR="00673CF8" w:rsidRPr="00A30098" w:rsidRDefault="00673CF8">
        <w:pPr>
          <w:pStyle w:val="Footer"/>
          <w:jc w:val="center"/>
        </w:pPr>
        <w:r w:rsidRPr="00A30098">
          <w:fldChar w:fldCharType="begin"/>
        </w:r>
        <w:r w:rsidRPr="00A30098">
          <w:instrText>PAGE   \* MERGEFORMAT</w:instrText>
        </w:r>
        <w:r w:rsidRPr="00A30098">
          <w:fldChar w:fldCharType="separate"/>
        </w:r>
        <w:r w:rsidR="00C70CED" w:rsidRPr="00C70CED">
          <w:rPr>
            <w:noProof/>
            <w:lang w:val="de-DE"/>
          </w:rPr>
          <w:t>4</w:t>
        </w:r>
        <w:r w:rsidRPr="00A30098">
          <w:fldChar w:fldCharType="end"/>
        </w:r>
      </w:p>
    </w:sdtContent>
  </w:sdt>
  <w:p w:rsidR="00673CF8" w:rsidRDefault="00673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D1" w:rsidRDefault="005D16D1" w:rsidP="00AF243F">
      <w:r>
        <w:separator/>
      </w:r>
    </w:p>
  </w:footnote>
  <w:footnote w:type="continuationSeparator" w:id="0">
    <w:p w:rsidR="005D16D1" w:rsidRDefault="005D16D1" w:rsidP="00AF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f0svdxzxdx9v0e2p0txsat6rsxtfr92teaw&quot;&gt;Methylierungspaper&lt;record-ids&gt;&lt;item&gt;6&lt;/item&gt;&lt;item&gt;7&lt;/item&gt;&lt;item&gt;8&lt;/item&gt;&lt;item&gt;10&lt;/item&gt;&lt;item&gt;11&lt;/item&gt;&lt;item&gt;12&lt;/item&gt;&lt;item&gt;40&lt;/item&gt;&lt;item&gt;46&lt;/item&gt;&lt;item&gt;53&lt;/item&gt;&lt;item&gt;54&lt;/item&gt;&lt;item&gt;85&lt;/item&gt;&lt;item&gt;88&lt;/item&gt;&lt;item&gt;89&lt;/item&gt;&lt;item&gt;90&lt;/item&gt;&lt;/record-ids&gt;&lt;/item&gt;&lt;/Libraries&gt;"/>
  </w:docVars>
  <w:rsids>
    <w:rsidRoot w:val="00A23A58"/>
    <w:rsid w:val="0000778D"/>
    <w:rsid w:val="00014802"/>
    <w:rsid w:val="00024030"/>
    <w:rsid w:val="00051112"/>
    <w:rsid w:val="00051987"/>
    <w:rsid w:val="00083238"/>
    <w:rsid w:val="0008673D"/>
    <w:rsid w:val="00093CF3"/>
    <w:rsid w:val="00096362"/>
    <w:rsid w:val="000C0F20"/>
    <w:rsid w:val="000C4AC8"/>
    <w:rsid w:val="000E2F0B"/>
    <w:rsid w:val="000E494A"/>
    <w:rsid w:val="00117B46"/>
    <w:rsid w:val="0013195F"/>
    <w:rsid w:val="0013552D"/>
    <w:rsid w:val="001675BF"/>
    <w:rsid w:val="00184D7A"/>
    <w:rsid w:val="00190859"/>
    <w:rsid w:val="00191D66"/>
    <w:rsid w:val="001A0005"/>
    <w:rsid w:val="001A09A4"/>
    <w:rsid w:val="001A337A"/>
    <w:rsid w:val="001A4D58"/>
    <w:rsid w:val="001D1313"/>
    <w:rsid w:val="001E3220"/>
    <w:rsid w:val="001E437D"/>
    <w:rsid w:val="00202FB5"/>
    <w:rsid w:val="00220DBF"/>
    <w:rsid w:val="00227C44"/>
    <w:rsid w:val="00227F49"/>
    <w:rsid w:val="00246675"/>
    <w:rsid w:val="00252194"/>
    <w:rsid w:val="00254E73"/>
    <w:rsid w:val="00262D1D"/>
    <w:rsid w:val="00263FED"/>
    <w:rsid w:val="00274F03"/>
    <w:rsid w:val="002751C8"/>
    <w:rsid w:val="0027789A"/>
    <w:rsid w:val="002974E9"/>
    <w:rsid w:val="00297D8F"/>
    <w:rsid w:val="002A5999"/>
    <w:rsid w:val="002B51D1"/>
    <w:rsid w:val="002C365C"/>
    <w:rsid w:val="002D0417"/>
    <w:rsid w:val="002D1303"/>
    <w:rsid w:val="002D3507"/>
    <w:rsid w:val="002E3BFF"/>
    <w:rsid w:val="00323B79"/>
    <w:rsid w:val="00324259"/>
    <w:rsid w:val="00330FC3"/>
    <w:rsid w:val="0033259D"/>
    <w:rsid w:val="00343070"/>
    <w:rsid w:val="00360887"/>
    <w:rsid w:val="003671A0"/>
    <w:rsid w:val="003677E1"/>
    <w:rsid w:val="00386A3E"/>
    <w:rsid w:val="00397D71"/>
    <w:rsid w:val="003A2F5A"/>
    <w:rsid w:val="003A7DBF"/>
    <w:rsid w:val="003B2CC7"/>
    <w:rsid w:val="003B3B44"/>
    <w:rsid w:val="003C1427"/>
    <w:rsid w:val="003C24F8"/>
    <w:rsid w:val="003D18DF"/>
    <w:rsid w:val="003D6816"/>
    <w:rsid w:val="00414257"/>
    <w:rsid w:val="00416DD2"/>
    <w:rsid w:val="004201B9"/>
    <w:rsid w:val="00425DA2"/>
    <w:rsid w:val="004356E2"/>
    <w:rsid w:val="00440DA4"/>
    <w:rsid w:val="00442008"/>
    <w:rsid w:val="00446ED5"/>
    <w:rsid w:val="0047384C"/>
    <w:rsid w:val="00474D25"/>
    <w:rsid w:val="00480D4A"/>
    <w:rsid w:val="00490EC5"/>
    <w:rsid w:val="004A6EA5"/>
    <w:rsid w:val="004B7A6E"/>
    <w:rsid w:val="004C1A78"/>
    <w:rsid w:val="004C7D8F"/>
    <w:rsid w:val="0050184D"/>
    <w:rsid w:val="00503C2F"/>
    <w:rsid w:val="005169C3"/>
    <w:rsid w:val="00521660"/>
    <w:rsid w:val="0052504F"/>
    <w:rsid w:val="005327E3"/>
    <w:rsid w:val="00541BAF"/>
    <w:rsid w:val="00546FFB"/>
    <w:rsid w:val="005569DD"/>
    <w:rsid w:val="00563E0D"/>
    <w:rsid w:val="00577A35"/>
    <w:rsid w:val="00585DD4"/>
    <w:rsid w:val="0059726F"/>
    <w:rsid w:val="005A338A"/>
    <w:rsid w:val="005A377C"/>
    <w:rsid w:val="005A5C9B"/>
    <w:rsid w:val="005B55CA"/>
    <w:rsid w:val="005C1185"/>
    <w:rsid w:val="005C3FB9"/>
    <w:rsid w:val="005D16D1"/>
    <w:rsid w:val="005E081B"/>
    <w:rsid w:val="005F4F71"/>
    <w:rsid w:val="00600C8B"/>
    <w:rsid w:val="00603AFB"/>
    <w:rsid w:val="00604A87"/>
    <w:rsid w:val="00616A72"/>
    <w:rsid w:val="00626DDB"/>
    <w:rsid w:val="00627374"/>
    <w:rsid w:val="00635F66"/>
    <w:rsid w:val="00636515"/>
    <w:rsid w:val="006405E4"/>
    <w:rsid w:val="0065220B"/>
    <w:rsid w:val="00672DED"/>
    <w:rsid w:val="00673CF8"/>
    <w:rsid w:val="0068783B"/>
    <w:rsid w:val="00694165"/>
    <w:rsid w:val="006B2637"/>
    <w:rsid w:val="006C11DE"/>
    <w:rsid w:val="006C1C1A"/>
    <w:rsid w:val="006D5C4D"/>
    <w:rsid w:val="007057F0"/>
    <w:rsid w:val="00711DC4"/>
    <w:rsid w:val="00715535"/>
    <w:rsid w:val="00721B07"/>
    <w:rsid w:val="0072369B"/>
    <w:rsid w:val="00725639"/>
    <w:rsid w:val="00727A13"/>
    <w:rsid w:val="00732723"/>
    <w:rsid w:val="0074003E"/>
    <w:rsid w:val="00741D89"/>
    <w:rsid w:val="00745938"/>
    <w:rsid w:val="00750F06"/>
    <w:rsid w:val="00766350"/>
    <w:rsid w:val="00782A7D"/>
    <w:rsid w:val="00790D10"/>
    <w:rsid w:val="0079568A"/>
    <w:rsid w:val="007962F5"/>
    <w:rsid w:val="00796402"/>
    <w:rsid w:val="007A7C24"/>
    <w:rsid w:val="007C1912"/>
    <w:rsid w:val="007C65BF"/>
    <w:rsid w:val="00802C33"/>
    <w:rsid w:val="00803BB8"/>
    <w:rsid w:val="00806CD5"/>
    <w:rsid w:val="00817511"/>
    <w:rsid w:val="00822447"/>
    <w:rsid w:val="00823B0E"/>
    <w:rsid w:val="00830AC4"/>
    <w:rsid w:val="0083156A"/>
    <w:rsid w:val="0087366B"/>
    <w:rsid w:val="008775C7"/>
    <w:rsid w:val="008B54F6"/>
    <w:rsid w:val="008B641A"/>
    <w:rsid w:val="008B69F8"/>
    <w:rsid w:val="008C3273"/>
    <w:rsid w:val="008D00E4"/>
    <w:rsid w:val="008D01D9"/>
    <w:rsid w:val="008E305C"/>
    <w:rsid w:val="008F17ED"/>
    <w:rsid w:val="00906256"/>
    <w:rsid w:val="00910B73"/>
    <w:rsid w:val="00923EB3"/>
    <w:rsid w:val="009356D4"/>
    <w:rsid w:val="00943794"/>
    <w:rsid w:val="009467BF"/>
    <w:rsid w:val="0095084B"/>
    <w:rsid w:val="009651EB"/>
    <w:rsid w:val="00977A3E"/>
    <w:rsid w:val="009800B9"/>
    <w:rsid w:val="00981664"/>
    <w:rsid w:val="009A4B36"/>
    <w:rsid w:val="009B0B29"/>
    <w:rsid w:val="009F7010"/>
    <w:rsid w:val="00A00679"/>
    <w:rsid w:val="00A04EC3"/>
    <w:rsid w:val="00A06915"/>
    <w:rsid w:val="00A10398"/>
    <w:rsid w:val="00A16269"/>
    <w:rsid w:val="00A22097"/>
    <w:rsid w:val="00A23A58"/>
    <w:rsid w:val="00A2543B"/>
    <w:rsid w:val="00A30098"/>
    <w:rsid w:val="00A4386C"/>
    <w:rsid w:val="00A507F8"/>
    <w:rsid w:val="00A52580"/>
    <w:rsid w:val="00A60035"/>
    <w:rsid w:val="00A6018A"/>
    <w:rsid w:val="00A63BEA"/>
    <w:rsid w:val="00A766E7"/>
    <w:rsid w:val="00A8024E"/>
    <w:rsid w:val="00A8764D"/>
    <w:rsid w:val="00AB307E"/>
    <w:rsid w:val="00AC02EF"/>
    <w:rsid w:val="00AC64BA"/>
    <w:rsid w:val="00AE7566"/>
    <w:rsid w:val="00AE7884"/>
    <w:rsid w:val="00AF243F"/>
    <w:rsid w:val="00B057AD"/>
    <w:rsid w:val="00B12674"/>
    <w:rsid w:val="00B175DD"/>
    <w:rsid w:val="00B35CE6"/>
    <w:rsid w:val="00B3734D"/>
    <w:rsid w:val="00B376EE"/>
    <w:rsid w:val="00B51547"/>
    <w:rsid w:val="00B5486C"/>
    <w:rsid w:val="00B54DAE"/>
    <w:rsid w:val="00B64416"/>
    <w:rsid w:val="00B85030"/>
    <w:rsid w:val="00BB270E"/>
    <w:rsid w:val="00BC47D5"/>
    <w:rsid w:val="00BD5479"/>
    <w:rsid w:val="00BE2E0F"/>
    <w:rsid w:val="00BE623B"/>
    <w:rsid w:val="00BF0437"/>
    <w:rsid w:val="00BF2B5F"/>
    <w:rsid w:val="00BF5CEC"/>
    <w:rsid w:val="00BF6FDB"/>
    <w:rsid w:val="00C02783"/>
    <w:rsid w:val="00C141DF"/>
    <w:rsid w:val="00C158FF"/>
    <w:rsid w:val="00C269C4"/>
    <w:rsid w:val="00C36F7E"/>
    <w:rsid w:val="00C47CDB"/>
    <w:rsid w:val="00C50F6C"/>
    <w:rsid w:val="00C54268"/>
    <w:rsid w:val="00C6185B"/>
    <w:rsid w:val="00C70CED"/>
    <w:rsid w:val="00C7503A"/>
    <w:rsid w:val="00C935FC"/>
    <w:rsid w:val="00C94901"/>
    <w:rsid w:val="00CA13C3"/>
    <w:rsid w:val="00CA2956"/>
    <w:rsid w:val="00CB191B"/>
    <w:rsid w:val="00CB6148"/>
    <w:rsid w:val="00CB6535"/>
    <w:rsid w:val="00CC6599"/>
    <w:rsid w:val="00CD55D0"/>
    <w:rsid w:val="00CD5DD8"/>
    <w:rsid w:val="00CE68AA"/>
    <w:rsid w:val="00D00EFA"/>
    <w:rsid w:val="00D015F4"/>
    <w:rsid w:val="00D10B7A"/>
    <w:rsid w:val="00D17D7D"/>
    <w:rsid w:val="00D201FD"/>
    <w:rsid w:val="00D22B01"/>
    <w:rsid w:val="00D3414D"/>
    <w:rsid w:val="00D41B3D"/>
    <w:rsid w:val="00D45FFE"/>
    <w:rsid w:val="00D726D5"/>
    <w:rsid w:val="00D735B3"/>
    <w:rsid w:val="00D92B83"/>
    <w:rsid w:val="00DB2EA8"/>
    <w:rsid w:val="00DC2B10"/>
    <w:rsid w:val="00DC7C2E"/>
    <w:rsid w:val="00DD5493"/>
    <w:rsid w:val="00DE30DE"/>
    <w:rsid w:val="00DE5D13"/>
    <w:rsid w:val="00DF6379"/>
    <w:rsid w:val="00E01B4D"/>
    <w:rsid w:val="00E05EB4"/>
    <w:rsid w:val="00E07668"/>
    <w:rsid w:val="00E12FF4"/>
    <w:rsid w:val="00E14D53"/>
    <w:rsid w:val="00E17507"/>
    <w:rsid w:val="00E24802"/>
    <w:rsid w:val="00E3470A"/>
    <w:rsid w:val="00E532DD"/>
    <w:rsid w:val="00E55D70"/>
    <w:rsid w:val="00E63DB4"/>
    <w:rsid w:val="00E646DC"/>
    <w:rsid w:val="00E647B8"/>
    <w:rsid w:val="00E650B1"/>
    <w:rsid w:val="00E72FFF"/>
    <w:rsid w:val="00EB31FD"/>
    <w:rsid w:val="00EB75A4"/>
    <w:rsid w:val="00ED509F"/>
    <w:rsid w:val="00ED6140"/>
    <w:rsid w:val="00EE1678"/>
    <w:rsid w:val="00EE7F9A"/>
    <w:rsid w:val="00F027D0"/>
    <w:rsid w:val="00F0467A"/>
    <w:rsid w:val="00F306CF"/>
    <w:rsid w:val="00F32A49"/>
    <w:rsid w:val="00F401D6"/>
    <w:rsid w:val="00F50145"/>
    <w:rsid w:val="00F52D2F"/>
    <w:rsid w:val="00F62F41"/>
    <w:rsid w:val="00F64313"/>
    <w:rsid w:val="00F66F94"/>
    <w:rsid w:val="00F91B74"/>
    <w:rsid w:val="00FB405A"/>
    <w:rsid w:val="00FC2AD5"/>
    <w:rsid w:val="00FD43F2"/>
    <w:rsid w:val="00FE2B4F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577A35"/>
    <w:pPr>
      <w:jc w:val="center"/>
    </w:pPr>
    <w:rPr>
      <w:noProof/>
      <w:lang w:val="de-DE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577A35"/>
    <w:rPr>
      <w:rFonts w:ascii="Times New Roman" w:eastAsia="Times New Roman" w:hAnsi="Times New Roman" w:cs="Times New Roman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rsid w:val="00577A35"/>
    <w:pPr>
      <w:jc w:val="both"/>
    </w:pPr>
    <w:rPr>
      <w:noProof/>
      <w:lang w:val="de-DE"/>
    </w:rPr>
  </w:style>
  <w:style w:type="character" w:customStyle="1" w:styleId="EndNoteBibliographyZchn">
    <w:name w:val="EndNote Bibliography Zchn"/>
    <w:basedOn w:val="DefaultParagraphFont"/>
    <w:link w:val="EndNoteBibliography"/>
    <w:rsid w:val="00577A35"/>
    <w:rPr>
      <w:rFonts w:ascii="Times New Roman" w:eastAsia="Times New Roman" w:hAnsi="Times New Roman" w:cs="Times New Roman"/>
      <w:noProof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77A35"/>
    <w:rPr>
      <w:color w:val="0000FF" w:themeColor="hyperlink"/>
      <w:u w:val="single"/>
    </w:rPr>
  </w:style>
  <w:style w:type="paragraph" w:customStyle="1" w:styleId="Text">
    <w:name w:val="Text"/>
    <w:rsid w:val="009B0B2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AF24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F24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3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227C4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51987"/>
  </w:style>
  <w:style w:type="paragraph" w:styleId="BalloonText">
    <w:name w:val="Balloon Text"/>
    <w:basedOn w:val="Normal"/>
    <w:link w:val="BalloonTextChar"/>
    <w:uiPriority w:val="99"/>
    <w:semiHidden/>
    <w:unhideWhenUsed/>
    <w:rsid w:val="00D7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D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577A35"/>
    <w:pPr>
      <w:jc w:val="center"/>
    </w:pPr>
    <w:rPr>
      <w:noProof/>
      <w:lang w:val="de-DE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577A35"/>
    <w:rPr>
      <w:rFonts w:ascii="Times New Roman" w:eastAsia="Times New Roman" w:hAnsi="Times New Roman" w:cs="Times New Roman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rsid w:val="00577A35"/>
    <w:pPr>
      <w:jc w:val="both"/>
    </w:pPr>
    <w:rPr>
      <w:noProof/>
      <w:lang w:val="de-DE"/>
    </w:rPr>
  </w:style>
  <w:style w:type="character" w:customStyle="1" w:styleId="EndNoteBibliographyZchn">
    <w:name w:val="EndNote Bibliography Zchn"/>
    <w:basedOn w:val="DefaultParagraphFont"/>
    <w:link w:val="EndNoteBibliography"/>
    <w:rsid w:val="00577A35"/>
    <w:rPr>
      <w:rFonts w:ascii="Times New Roman" w:eastAsia="Times New Roman" w:hAnsi="Times New Roman" w:cs="Times New Roman"/>
      <w:noProof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77A35"/>
    <w:rPr>
      <w:color w:val="0000FF" w:themeColor="hyperlink"/>
      <w:u w:val="single"/>
    </w:rPr>
  </w:style>
  <w:style w:type="paragraph" w:customStyle="1" w:styleId="Text">
    <w:name w:val="Text"/>
    <w:rsid w:val="009B0B2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AF24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F24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3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227C4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51987"/>
  </w:style>
  <w:style w:type="paragraph" w:styleId="BalloonText">
    <w:name w:val="Balloon Text"/>
    <w:basedOn w:val="Normal"/>
    <w:link w:val="BalloonTextChar"/>
    <w:uiPriority w:val="99"/>
    <w:semiHidden/>
    <w:unhideWhenUsed/>
    <w:rsid w:val="00D7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D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Henrich, Kai-Oliver</dc:creator>
  <cp:lastModifiedBy>Amir Khalili</cp:lastModifiedBy>
  <cp:revision>2</cp:revision>
  <cp:lastPrinted>2016-05-03T09:33:00Z</cp:lastPrinted>
  <dcterms:created xsi:type="dcterms:W3CDTF">2016-07-19T19:44:00Z</dcterms:created>
  <dcterms:modified xsi:type="dcterms:W3CDTF">2016-07-19T19:44:00Z</dcterms:modified>
</cp:coreProperties>
</file>