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AE" w:rsidRDefault="00671FC4" w:rsidP="00E45ED0">
      <w:pPr>
        <w:pStyle w:val="Caption"/>
        <w:keepNext/>
        <w:rPr>
          <w:rFonts w:ascii="Arial" w:hAnsi="Arial" w:cs="Arial"/>
          <w:b w:val="0"/>
        </w:rPr>
      </w:pPr>
      <w:r>
        <w:rPr>
          <w:rFonts w:ascii="Arial" w:hAnsi="Arial" w:cs="Arial"/>
        </w:rPr>
        <w:t>Supplementary Table S</w:t>
      </w:r>
      <w:r w:rsidR="00E45ED0">
        <w:rPr>
          <w:rFonts w:ascii="Arial" w:hAnsi="Arial" w:cs="Arial"/>
        </w:rPr>
        <w:t>2</w:t>
      </w:r>
      <w:r w:rsidR="00CF2985" w:rsidRPr="00CF2985">
        <w:rPr>
          <w:rFonts w:ascii="Arial" w:hAnsi="Arial" w:cs="Arial"/>
        </w:rPr>
        <w:t xml:space="preserve">. </w:t>
      </w:r>
      <w:r w:rsidR="00E45ED0" w:rsidRPr="00E45ED0">
        <w:rPr>
          <w:rFonts w:ascii="Arial" w:hAnsi="Arial" w:cs="Arial"/>
          <w:b w:val="0"/>
        </w:rPr>
        <w:t>Publications from which the pathway activation gene sets were obtained.</w:t>
      </w:r>
    </w:p>
    <w:tbl>
      <w:tblPr>
        <w:tblW w:w="899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000"/>
        <w:gridCol w:w="4380"/>
        <w:gridCol w:w="1170"/>
        <w:gridCol w:w="1440"/>
      </w:tblGrid>
      <w:tr w:rsidR="00E45ED0" w:rsidRPr="00E45ED0" w:rsidTr="00E45ED0">
        <w:trPr>
          <w:trHeight w:val="26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b/>
                <w:bCs/>
                <w:color w:val="FFFFFF"/>
                <w:kern w:val="24"/>
                <w:sz w:val="16"/>
                <w:szCs w:val="16"/>
              </w:rPr>
              <w:t>Pathway Name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b/>
                <w:bCs/>
                <w:color w:val="FFFFFF"/>
                <w:kern w:val="24"/>
                <w:sz w:val="16"/>
                <w:szCs w:val="16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b/>
                <w:bCs/>
                <w:color w:val="FFFFFF"/>
                <w:kern w:val="24"/>
                <w:sz w:val="16"/>
                <w:szCs w:val="16"/>
              </w:rPr>
              <w:t># of genes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b/>
                <w:bCs/>
                <w:color w:val="FFFFFF"/>
                <w:kern w:val="24"/>
                <w:sz w:val="16"/>
                <w:szCs w:val="16"/>
              </w:rPr>
              <w:t>PubMed ID.</w:t>
            </w:r>
          </w:p>
        </w:tc>
      </w:tr>
      <w:tr w:rsidR="00E45ED0" w:rsidRPr="00E45ED0" w:rsidTr="00E45ED0"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Androgen receptor (AR)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Three sets of up-regulated genes by AR in human patient tissues and prostate cancer cells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1367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23260764</w:t>
            </w:r>
          </w:p>
        </w:tc>
      </w:tr>
      <w:tr w:rsidR="00E45ED0" w:rsidRPr="00E45ED0" w:rsidTr="00E45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9289629</w:t>
            </w:r>
          </w:p>
        </w:tc>
      </w:tr>
      <w:tr w:rsidR="00E45ED0" w:rsidRPr="00E45ED0" w:rsidTr="00E45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12185249</w:t>
            </w:r>
          </w:p>
        </w:tc>
      </w:tr>
      <w:tr w:rsidR="00E45ED0" w:rsidRPr="00E45ED0" w:rsidTr="00E45ED0"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AR-Variant (AR-V)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Two sets of up-regulated genes by presence or high expression of AR-variant in bone metastasis tissues or prostate cancer cells.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21552559</w:t>
            </w:r>
          </w:p>
        </w:tc>
      </w:tr>
      <w:tr w:rsidR="00E45ED0" w:rsidRPr="00E45ED0" w:rsidTr="00E45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22710436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Deletion of phosphatase and </w:t>
            </w: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tensin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homolog (PTEN)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up-regulated by loss</w:t>
            </w:r>
            <w:bookmarkStart w:id="0" w:name="_GoBack"/>
            <w:bookmarkEnd w:id="0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of PTEN.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17452630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TMPRSS2–ERG fusion (ERG)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 expression signature up-regulated by TMPRSS-ERG fusion.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140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18283340, 18505969, 17079440</w:t>
            </w:r>
          </w:p>
        </w:tc>
      </w:tr>
      <w:tr w:rsidR="00E45ED0" w:rsidRPr="00E45ED0" w:rsidTr="00E45ED0"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Forkhead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box A1 (FOXA1)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Two gene sets up-regulated by FOXA1 with chromatin binding of FOXA1 in their regulatory regions of DNA.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447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23539448</w:t>
            </w:r>
          </w:p>
        </w:tc>
      </w:tr>
      <w:tr w:rsidR="00E45ED0" w:rsidRPr="00E45ED0" w:rsidTr="00E45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24292680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Mutation of speckle-type POZ protein (SPOP)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Genes significantly up-regulated in all </w:t>
            </w: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LNCaP-abl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cell with three different SPOP mutations and down-regulated in cells with wildtype SPOP compared to cells with control vector treatment (FDR&lt;0.05).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25274033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Enhancer of </w:t>
            </w: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zeste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2 (EZH2)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EZH2-stimulated genes bound by EZH2 solo peaks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84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23239736</w:t>
            </w:r>
          </w:p>
        </w:tc>
      </w:tr>
      <w:tr w:rsidR="00E45ED0" w:rsidRPr="00E45ED0" w:rsidTr="00E45ED0"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Inactivation by </w:t>
            </w: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polycomb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repression complex 2 (PRC)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Two sets of genes repressed by </w:t>
            </w: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polycomb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repression complex from human embryonic stem cell study and prostate cancer patients.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654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16630818</w:t>
            </w:r>
          </w:p>
        </w:tc>
      </w:tr>
      <w:tr w:rsidR="00E45ED0" w:rsidRPr="00E45ED0" w:rsidTr="00E45E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ED0" w:rsidRPr="00E45ED0" w:rsidRDefault="00E45ED0" w:rsidP="00E45E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18006806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  <w:lang w:val="pt-BR"/>
              </w:rPr>
              <w:t>Rat sarcoma viral oncogene homolog (RAS)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up-regulated by oncogenic RAS activation.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179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16273092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Stemness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(ES)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highly expressed in human embryonic stem cells according to 5 or more out of 20 profiling studies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380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17204602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Aggressive PC with neuroendocrine differentiation (AV)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up-regulated in metastatic neuroendocrine (NE) prostate cancer compared to primary prostate cancer without NE phenotype.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464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22389870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Pro-neural (PN)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reflecting neuronal differentiation (Pro-neural) activity.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16530701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Epithelial-mesenchymal transition (MES)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represent activation of mesenchymal transition.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141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16530701</w:t>
            </w:r>
          </w:p>
        </w:tc>
      </w:tr>
      <w:tr w:rsidR="00E45ED0" w:rsidRPr="00E45ED0" w:rsidTr="00E45ED0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proofErr w:type="spellStart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Poliferation</w:t>
            </w:r>
            <w:proofErr w:type="spellEnd"/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 xml:space="preserve"> (PRF)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Genes represent active proliferation.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DejaVu LGC Sans" w:hAnsi="Arial" w:cs="Arial"/>
                <w:color w:val="000000"/>
                <w:kern w:val="24"/>
                <w:sz w:val="16"/>
                <w:szCs w:val="16"/>
              </w:rPr>
              <w:t>183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ED0" w:rsidRPr="00E45ED0" w:rsidRDefault="00E45ED0" w:rsidP="00E45ED0">
            <w:pPr>
              <w:widowControl/>
              <w:autoSpaceDE/>
              <w:autoSpaceDN/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</w:rPr>
            </w:pPr>
            <w:r w:rsidRPr="00E45ED0">
              <w:rPr>
                <w:rFonts w:ascii="Arial" w:eastAsia="SimSun" w:hAnsi="Arial" w:cs="Arial"/>
                <w:color w:val="000000"/>
                <w:kern w:val="24"/>
                <w:sz w:val="16"/>
                <w:szCs w:val="16"/>
              </w:rPr>
              <w:t>16530701</w:t>
            </w:r>
          </w:p>
        </w:tc>
      </w:tr>
    </w:tbl>
    <w:p w:rsidR="00E45ED0" w:rsidRPr="00E45ED0" w:rsidRDefault="00E45ED0" w:rsidP="00E45ED0"/>
    <w:sectPr w:rsidR="00E45ED0" w:rsidRPr="00E45E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LGC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85"/>
    <w:rsid w:val="001C1EAE"/>
    <w:rsid w:val="00301A73"/>
    <w:rsid w:val="00671FC4"/>
    <w:rsid w:val="00CF2985"/>
    <w:rsid w:val="00E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B2FD-1F1B-4FF9-8CCD-FBDBBC6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9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85"/>
    <w:rPr>
      <w:color w:val="954F72"/>
      <w:u w:val="single"/>
    </w:rPr>
  </w:style>
  <w:style w:type="paragraph" w:customStyle="1" w:styleId="xl65">
    <w:name w:val="xl65"/>
    <w:basedOn w:val="Normal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F2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CF2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F298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유성용</dc:creator>
  <cp:keywords/>
  <dc:description/>
  <cp:lastModifiedBy>guru</cp:lastModifiedBy>
  <cp:revision>2</cp:revision>
  <dcterms:created xsi:type="dcterms:W3CDTF">2016-05-04T00:38:00Z</dcterms:created>
  <dcterms:modified xsi:type="dcterms:W3CDTF">2016-05-04T00:38:00Z</dcterms:modified>
</cp:coreProperties>
</file>