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FE" w:rsidRDefault="00291E32" w:rsidP="004536FE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Supplementary Table 1</w:t>
      </w:r>
      <w:r w:rsidR="004536FE" w:rsidRPr="00060922">
        <w:rPr>
          <w:b/>
          <w:sz w:val="22"/>
          <w:szCs w:val="22"/>
        </w:rPr>
        <w:t>:</w:t>
      </w:r>
      <w:r w:rsidR="004536FE" w:rsidRPr="00060922">
        <w:rPr>
          <w:sz w:val="22"/>
          <w:szCs w:val="22"/>
        </w:rPr>
        <w:t xml:space="preserve"> </w:t>
      </w:r>
      <w:r w:rsidR="004536FE" w:rsidRPr="00696B82">
        <w:rPr>
          <w:rFonts w:cs="Arial"/>
          <w:sz w:val="22"/>
        </w:rPr>
        <w:t xml:space="preserve">Change in </w:t>
      </w:r>
      <w:r w:rsidR="004536FE">
        <w:rPr>
          <w:rFonts w:cs="Arial"/>
          <w:sz w:val="22"/>
        </w:rPr>
        <w:t xml:space="preserve">PAI-1, VEGF, and PEDF </w:t>
      </w:r>
      <w:r w:rsidR="004536FE" w:rsidRPr="00696B82">
        <w:rPr>
          <w:rFonts w:cs="Arial"/>
          <w:sz w:val="22"/>
        </w:rPr>
        <w:t>by</w:t>
      </w:r>
      <w:r w:rsidR="004536FE" w:rsidRPr="00060922">
        <w:rPr>
          <w:rFonts w:cs="Arial"/>
          <w:sz w:val="22"/>
          <w:szCs w:val="22"/>
        </w:rPr>
        <w:t xml:space="preserve"> tertiles of change in percent body</w:t>
      </w:r>
      <w:r w:rsidR="004536FE">
        <w:rPr>
          <w:rFonts w:cs="Arial"/>
          <w:sz w:val="22"/>
          <w:szCs w:val="22"/>
        </w:rPr>
        <w:t>-</w:t>
      </w:r>
      <w:r w:rsidR="004536FE" w:rsidRPr="00060922">
        <w:rPr>
          <w:rFonts w:cs="Arial"/>
          <w:sz w:val="22"/>
          <w:szCs w:val="22"/>
        </w:rPr>
        <w:t>fat compared to controls</w:t>
      </w:r>
      <w:r w:rsidR="004536FE">
        <w:rPr>
          <w:rFonts w:cs="Arial"/>
          <w:sz w:val="22"/>
        </w:rPr>
        <w:t xml:space="preserve"> </w:t>
      </w:r>
    </w:p>
    <w:p w:rsidR="004536FE" w:rsidRPr="00060922" w:rsidRDefault="004536FE" w:rsidP="004536FE">
      <w:pPr>
        <w:rPr>
          <w:sz w:val="22"/>
          <w:szCs w:val="22"/>
        </w:rPr>
      </w:pPr>
    </w:p>
    <w:tbl>
      <w:tblPr>
        <w:tblW w:w="501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343"/>
        <w:gridCol w:w="943"/>
        <w:gridCol w:w="754"/>
        <w:gridCol w:w="854"/>
        <w:gridCol w:w="849"/>
        <w:gridCol w:w="233"/>
        <w:gridCol w:w="833"/>
        <w:gridCol w:w="644"/>
        <w:gridCol w:w="744"/>
        <w:gridCol w:w="739"/>
        <w:gridCol w:w="233"/>
        <w:gridCol w:w="833"/>
        <w:gridCol w:w="644"/>
        <w:gridCol w:w="744"/>
        <w:gridCol w:w="739"/>
      </w:tblGrid>
      <w:tr w:rsidR="004536FE" w:rsidRPr="00085D89" w:rsidTr="009D1370">
        <w:trPr>
          <w:cantSplit/>
          <w:trHeight w:val="368"/>
          <w:tblHeader/>
          <w:jc w:val="center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Change in % body-fat</w:t>
            </w:r>
          </w:p>
        </w:tc>
        <w:tc>
          <w:tcPr>
            <w:tcW w:w="1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Diet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Exercise</w:t>
            </w:r>
          </w:p>
        </w:tc>
        <w:tc>
          <w:tcPr>
            <w:tcW w:w="1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085D89">
              <w:rPr>
                <w:rFonts w:cs="Arial"/>
                <w:b/>
                <w:bCs/>
                <w:color w:val="000000"/>
                <w:sz w:val="20"/>
              </w:rPr>
              <w:t>Diet+Exercise</w:t>
            </w:r>
            <w:proofErr w:type="spellEnd"/>
          </w:p>
        </w:tc>
      </w:tr>
      <w:tr w:rsidR="004536FE" w:rsidRPr="00085D89" w:rsidTr="009D1370">
        <w:trPr>
          <w:cantSplit/>
          <w:tblHeader/>
          <w:jc w:val="center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Baseline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12-month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spacing w:before="6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Abs.</w:t>
            </w:r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Change (%)</w:t>
            </w:r>
            <w:r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e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P</w:t>
            </w:r>
            <w:r w:rsidRPr="00D526D6"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c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Baseline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12-month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Baseline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12-month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spacing w:before="6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Abs.</w:t>
            </w:r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Change (%)</w:t>
            </w:r>
            <w:r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e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P</w:t>
            </w:r>
            <w:r w:rsidRPr="00D526D6"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c</w:t>
            </w:r>
          </w:p>
        </w:tc>
      </w:tr>
      <w:tr w:rsidR="004536FE" w:rsidRPr="00085D89" w:rsidTr="009D1370">
        <w:trPr>
          <w:cantSplit/>
          <w:trHeight w:val="872"/>
          <w:tblHeader/>
          <w:jc w:val="center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085D89">
              <w:rPr>
                <w:rFonts w:cs="Arial"/>
                <w:b/>
                <w:bCs/>
                <w:color w:val="000000"/>
                <w:sz w:val="20"/>
              </w:rPr>
              <w:t>GM</w:t>
            </w:r>
            <w:r w:rsidRPr="00D526D6"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a</w:t>
            </w:r>
            <w:proofErr w:type="spellEnd"/>
          </w:p>
          <w:p w:rsidR="004536FE" w:rsidRPr="00085D89" w:rsidRDefault="004536FE" w:rsidP="009D1370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(95% CI)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085D89">
              <w:rPr>
                <w:rFonts w:cs="Arial"/>
                <w:b/>
                <w:bCs/>
                <w:color w:val="000000"/>
                <w:sz w:val="20"/>
              </w:rPr>
              <w:t>GM</w:t>
            </w:r>
            <w:r w:rsidRPr="00D526D6"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a</w:t>
            </w:r>
            <w:proofErr w:type="spellEnd"/>
          </w:p>
          <w:p w:rsidR="004536FE" w:rsidRPr="00085D89" w:rsidRDefault="004536FE" w:rsidP="009D1370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(95% CI)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085D89">
              <w:rPr>
                <w:rFonts w:cs="Arial"/>
                <w:b/>
                <w:bCs/>
                <w:color w:val="000000"/>
                <w:sz w:val="20"/>
              </w:rPr>
              <w:t>GM</w:t>
            </w:r>
            <w:r w:rsidRPr="00D526D6"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a</w:t>
            </w:r>
            <w:proofErr w:type="spellEnd"/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(95% CI)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085D89">
              <w:rPr>
                <w:rFonts w:cs="Arial"/>
                <w:b/>
                <w:bCs/>
                <w:color w:val="000000"/>
                <w:sz w:val="20"/>
              </w:rPr>
              <w:t>GM</w:t>
            </w:r>
            <w:r w:rsidRPr="00D526D6"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a</w:t>
            </w:r>
            <w:proofErr w:type="spellEnd"/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(95% CI)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spacing w:before="6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Abs.</w:t>
            </w:r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Change (%)</w:t>
            </w:r>
            <w:r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P</w:t>
            </w:r>
            <w:r w:rsidRPr="00D526D6"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c</w:t>
            </w: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085D89">
              <w:rPr>
                <w:rFonts w:cs="Arial"/>
                <w:b/>
                <w:bCs/>
                <w:color w:val="000000"/>
                <w:sz w:val="20"/>
              </w:rPr>
              <w:t>GM</w:t>
            </w:r>
            <w:r w:rsidRPr="00D526D6"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a</w:t>
            </w:r>
            <w:proofErr w:type="spellEnd"/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(95% CI)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proofErr w:type="spellStart"/>
            <w:r w:rsidRPr="00085D89">
              <w:rPr>
                <w:rFonts w:cs="Arial"/>
                <w:b/>
                <w:bCs/>
                <w:color w:val="000000"/>
                <w:sz w:val="20"/>
              </w:rPr>
              <w:t>GM</w:t>
            </w:r>
            <w:r w:rsidRPr="00D526D6"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a</w:t>
            </w:r>
            <w:proofErr w:type="spellEnd"/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085D89">
              <w:rPr>
                <w:rFonts w:cs="Arial"/>
                <w:b/>
                <w:bCs/>
                <w:color w:val="000000"/>
                <w:sz w:val="20"/>
              </w:rPr>
              <w:t>(95% CI)</w:t>
            </w: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4536FE" w:rsidRPr="00085D89" w:rsidTr="009D1370">
        <w:trPr>
          <w:cantSplit/>
          <w:trHeight w:val="368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rPr>
                <w:rFonts w:cs="Arial"/>
                <w:b/>
                <w:color w:val="000000"/>
                <w:sz w:val="20"/>
              </w:rPr>
            </w:pPr>
            <w:r w:rsidRPr="00085D89">
              <w:rPr>
                <w:rFonts w:cs="Arial"/>
                <w:b/>
                <w:color w:val="000000"/>
                <w:sz w:val="20"/>
              </w:rPr>
              <w:t>PAI-1</w:t>
            </w: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Control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7.89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(7.09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8.76)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8.15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(7.29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9.11)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0.27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(3.5)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7.88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(7.09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8.76)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8.15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(7.29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9.11)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0.27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(3.5)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7.88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(7.09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8.76)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8.15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(7.29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9.11)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0.27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(3.5)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No Change/</w:t>
            </w:r>
          </w:p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Gained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6.97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(5.45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8.92)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8.40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(7.04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10.02)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1.43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(20.5)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0.08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6.22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(5.17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7.48)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6.91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(5.92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8.06)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0.69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(11.1)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7.36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(5.92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9.13)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7.99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(6.38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10.00)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0.63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(8.6)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0.58</w:t>
            </w: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Decreased &lt;2.6%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9.14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(7.06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11.84)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7.30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(5.79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9.22)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-1.84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(-20.1)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0.02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6.730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(5.69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7.96)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7.46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(6.38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8.72)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0.73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(10.8)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0.38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7.946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(6.43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9.82)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7.45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(5.92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9.38)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-0.50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(-6.2)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0.37</w:t>
            </w: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Decreased</w:t>
            </w:r>
          </w:p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2.6-6.4%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6.56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(5.50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7.84)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6.84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(5.81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8.05)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0.28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(4.2)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0.97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6.369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(4.98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8.15)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6.56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(5.17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8.32)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0.19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(3.0)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0.83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7.16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(5.60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9.15)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5.50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(4.36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6.94)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-1.65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(-23.1)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</w:tr>
      <w:tr w:rsidR="004536FE" w:rsidRPr="00085D89" w:rsidTr="009D1370">
        <w:trPr>
          <w:cantSplit/>
          <w:trHeight w:val="692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 xml:space="preserve">Decreased </w:t>
            </w:r>
            <w:r w:rsidRPr="00085D89">
              <w:rPr>
                <w:rFonts w:cs="Arial"/>
                <w:color w:val="000000"/>
                <w:sz w:val="20"/>
                <w:u w:val="single"/>
              </w:rPr>
              <w:t>&gt;</w:t>
            </w:r>
            <w:r w:rsidRPr="00085D89">
              <w:rPr>
                <w:rFonts w:cs="Arial"/>
                <w:color w:val="000000"/>
                <w:sz w:val="20"/>
              </w:rPr>
              <w:t>6.4%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6.09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(5.23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7.09)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4.11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(3.49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4.83)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-1.99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(-32.6)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7.023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(3.63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13.59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6.53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(4.41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9.68)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-0.49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(-7.0)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0.45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52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6.02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(5.19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6.98)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4.33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(3.73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5.03)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-1.69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(-28.1)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</w:tr>
      <w:tr w:rsidR="004536FE" w:rsidRPr="00085D89" w:rsidTr="009D1370">
        <w:trPr>
          <w:cantSplit/>
          <w:trHeight w:val="287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D526D6"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d</w:t>
            </w:r>
            <w:r w:rsidRPr="00085D89">
              <w:rPr>
                <w:rFonts w:cs="Arial"/>
                <w:bCs/>
                <w:color w:val="000000"/>
                <w:sz w:val="20"/>
              </w:rPr>
              <w:t>P</w:t>
            </w:r>
            <w:r w:rsidRPr="00085D89">
              <w:rPr>
                <w:rFonts w:cs="Arial"/>
                <w:bCs/>
                <w:color w:val="000000"/>
                <w:sz w:val="20"/>
                <w:vertAlign w:val="subscript"/>
              </w:rPr>
              <w:t>trend</w:t>
            </w:r>
            <w:proofErr w:type="spellEnd"/>
          </w:p>
        </w:tc>
        <w:tc>
          <w:tcPr>
            <w:tcW w:w="1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tabs>
                <w:tab w:val="left" w:pos="4527"/>
              </w:tabs>
              <w:adjustRightInd w:val="0"/>
              <w:ind w:right="104"/>
              <w:jc w:val="right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ind w:right="104"/>
              <w:jc w:val="right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0.96</w:t>
            </w:r>
          </w:p>
        </w:tc>
        <w:tc>
          <w:tcPr>
            <w:tcW w:w="1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ind w:right="104"/>
              <w:jc w:val="right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</w:tr>
      <w:tr w:rsidR="004536FE" w:rsidRPr="00085D89" w:rsidTr="009D1370">
        <w:trPr>
          <w:cantSplit/>
          <w:trHeight w:val="368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rPr>
                <w:rFonts w:cs="Arial"/>
                <w:b/>
                <w:color w:val="000000"/>
                <w:sz w:val="20"/>
              </w:rPr>
            </w:pPr>
            <w:r w:rsidRPr="00085D89">
              <w:rPr>
                <w:rFonts w:cs="Arial"/>
                <w:b/>
                <w:color w:val="000000"/>
                <w:sz w:val="20"/>
              </w:rPr>
              <w:t>PEDF</w:t>
            </w: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Control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10.75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(10.35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11.17)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10.77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(10.37</w:t>
            </w:r>
            <w:r>
              <w:rPr>
                <w:rFonts w:cs="Arial"/>
                <w:color w:val="000000"/>
                <w:sz w:val="20"/>
              </w:rPr>
              <w:t>-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11.20)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0.02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(0.2)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10.75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(10.35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11.17)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10.77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(10.37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11.20)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19.63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(0.2)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10.75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(10.35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11.17)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10.77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(10.37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11.20)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0.02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(0.2)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No Decrease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11.43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(10.62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12.29)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11.72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(10.91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12.58)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0.29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(2.5)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0.39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10.80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(10.32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11.31)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10.69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(10.18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11.22)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-0.11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(-1.0)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0.37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10.02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(8.63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11.64)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9.96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(8.72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11.39)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-0.54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(-0.5)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0.67</w:t>
            </w: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Decreased &lt;2.6%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11.89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(11.06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12.79)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10.28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(9.56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11.05)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-1.62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(-13.6)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10.46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(9.97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10.97)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10.40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(9.89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10.94)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-0.06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(-0.6)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0.68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11.35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(10.42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12.37)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10.59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(9.87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11.35)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-0.77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(-6.8)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0.03</w:t>
            </w:r>
          </w:p>
        </w:tc>
      </w:tr>
      <w:tr w:rsidR="004536FE" w:rsidRPr="00085D89" w:rsidTr="009D1370">
        <w:trPr>
          <w:cantSplit/>
          <w:trHeight w:val="697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Decreased</w:t>
            </w:r>
          </w:p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2.6-6.4%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10.08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(9.49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10.71)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9.32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(8.88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9.78)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-0.77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(-7.6)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0.008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9.92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(9.31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10.59)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9.516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(9.01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10.05)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-0.41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(-4.1)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0.09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10.61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(9.65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11.67)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9.70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(8.85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10.64)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-0.91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(-8.6)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0.0001</w:t>
            </w: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 xml:space="preserve">Decreased </w:t>
            </w:r>
            <w:r w:rsidRPr="00085D89">
              <w:rPr>
                <w:rFonts w:cs="Arial"/>
                <w:color w:val="000000"/>
                <w:sz w:val="20"/>
                <w:u w:val="single"/>
              </w:rPr>
              <w:t>&gt;</w:t>
            </w:r>
            <w:r w:rsidRPr="00085D89">
              <w:rPr>
                <w:rFonts w:cs="Arial"/>
                <w:color w:val="000000"/>
                <w:sz w:val="20"/>
              </w:rPr>
              <w:t>6.4%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9.87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(9.30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10.47)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8.18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(7.69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8.70)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-1.69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(-17.1)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11.20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(8.85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14.17)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8.676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(7.34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10.26)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-2.52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(-22.5)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53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10.20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(9.70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10.73)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8.75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(8.35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9.17)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-1.45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(-14.2)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</w:tr>
      <w:tr w:rsidR="004536FE" w:rsidRPr="00085D89" w:rsidTr="009D1370">
        <w:trPr>
          <w:cantSplit/>
          <w:trHeight w:val="3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D526D6"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d</w:t>
            </w:r>
            <w:r w:rsidRPr="00085D89">
              <w:rPr>
                <w:rFonts w:cs="Arial"/>
                <w:bCs/>
                <w:color w:val="000000"/>
                <w:sz w:val="20"/>
              </w:rPr>
              <w:t>P</w:t>
            </w:r>
            <w:r w:rsidRPr="00085D89">
              <w:rPr>
                <w:rFonts w:cs="Arial"/>
                <w:bCs/>
                <w:color w:val="000000"/>
                <w:sz w:val="20"/>
                <w:vertAlign w:val="subscript"/>
              </w:rPr>
              <w:t>trend</w:t>
            </w:r>
            <w:proofErr w:type="spellEnd"/>
          </w:p>
        </w:tc>
        <w:tc>
          <w:tcPr>
            <w:tcW w:w="1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ind w:right="104"/>
              <w:jc w:val="right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ind w:right="104"/>
              <w:jc w:val="right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0.009</w:t>
            </w:r>
          </w:p>
        </w:tc>
        <w:tc>
          <w:tcPr>
            <w:tcW w:w="1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ind w:right="104"/>
              <w:jc w:val="right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</w:tr>
      <w:tr w:rsidR="004536FE" w:rsidRPr="00085D89" w:rsidTr="009D1370">
        <w:trPr>
          <w:cantSplit/>
          <w:trHeight w:val="35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rPr>
                <w:rFonts w:cs="Arial"/>
                <w:b/>
                <w:color w:val="000000"/>
                <w:sz w:val="20"/>
              </w:rPr>
            </w:pPr>
            <w:r w:rsidRPr="00085D89">
              <w:rPr>
                <w:rFonts w:cs="Arial"/>
                <w:b/>
                <w:color w:val="000000"/>
                <w:sz w:val="20"/>
              </w:rPr>
              <w:t>VEGF</w:t>
            </w: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Control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325.0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(284.6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371.1)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321.0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(279.3</w:t>
            </w:r>
            <w:r>
              <w:rPr>
                <w:rFonts w:cs="Arial"/>
                <w:color w:val="000000"/>
                <w:sz w:val="20"/>
              </w:rPr>
              <w:t>--</w:t>
            </w:r>
            <w:r w:rsidRPr="00085D89">
              <w:rPr>
                <w:rFonts w:cs="Arial"/>
                <w:color w:val="000000"/>
                <w:sz w:val="20"/>
              </w:rPr>
              <w:t>369.0)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-3.92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(-1.2)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325.0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(284.6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371.1)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321.0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(279.3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369.0)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-3.92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(-1.2)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325.0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(284.6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371.1)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321.0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(279.3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369.0)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-3.92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(-1.2)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No Decrease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259.5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(199.7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337.2)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256.8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(196.6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335.4)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-2.68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(-1.0)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0.60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312.4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(250.0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390.4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297.7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(238.8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371.2)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-14.7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(-4.7)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0.15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343.5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(267.7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440.8)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331.5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(249.3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440.6)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-12.1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(-3.5)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0.51</w:t>
            </w: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lastRenderedPageBreak/>
              <w:t>Decreased &lt;2.6%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299.2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(226.4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395.5)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281.4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(209.9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377.2)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-17.8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(-6.0)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0.31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307.9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(253.0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374.8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304.3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(249.6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370.9)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-3.64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(-1.2)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0.91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432.8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(317.4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590.0)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408.5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(296.6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562.6)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-24.2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(-5.6)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0.34</w:t>
            </w: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Decreased</w:t>
            </w:r>
          </w:p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2.6-6.4%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265.3</w:t>
            </w:r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(214.9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327.5)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243.5</w:t>
            </w:r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(198.2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299.2)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-21.8</w:t>
            </w:r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(-8.2)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0.009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292.8</w:t>
            </w:r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(228.2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375.7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283.2</w:t>
            </w:r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(220.8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363.2)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-9.60</w:t>
            </w:r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(-3.3)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0.49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282.1</w:t>
            </w:r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(219.5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362.6)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260.1</w:t>
            </w:r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(202.5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334.2)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-22.0</w:t>
            </w:r>
          </w:p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(-7.8)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keepNext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0.08</w:t>
            </w: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 xml:space="preserve">Decreased </w:t>
            </w:r>
            <w:r w:rsidRPr="00085D89">
              <w:rPr>
                <w:rFonts w:cs="Arial"/>
                <w:color w:val="000000"/>
                <w:sz w:val="20"/>
                <w:u w:val="single"/>
              </w:rPr>
              <w:t>&gt;</w:t>
            </w:r>
            <w:r w:rsidRPr="00085D89">
              <w:rPr>
                <w:rFonts w:cs="Arial"/>
                <w:color w:val="000000"/>
                <w:sz w:val="20"/>
              </w:rPr>
              <w:t>6.4%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366.3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(284.0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472.5)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307.7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(240.2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394.3)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-58.6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(-16.0)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353.4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(210.1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594.5)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318.8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(197.6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514.5)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-34.6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(-9.8)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53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286.7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(230.9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356.0)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245.5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(198.6</w:t>
            </w:r>
            <w:r>
              <w:rPr>
                <w:rFonts w:cs="Arial"/>
                <w:color w:val="000000"/>
                <w:sz w:val="20"/>
              </w:rPr>
              <w:t>-</w:t>
            </w:r>
            <w:r w:rsidRPr="00085D89">
              <w:rPr>
                <w:rFonts w:cs="Arial"/>
                <w:color w:val="000000"/>
                <w:sz w:val="20"/>
              </w:rPr>
              <w:t>303.7)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-41.1</w:t>
            </w:r>
          </w:p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(-14.3)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</w:tr>
      <w:tr w:rsidR="004536FE" w:rsidRPr="00085D89" w:rsidTr="009D1370">
        <w:trPr>
          <w:cantSplit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D526D6">
              <w:rPr>
                <w:rFonts w:cs="Arial"/>
                <w:bCs/>
                <w:color w:val="000000"/>
                <w:sz w:val="20"/>
                <w:szCs w:val="18"/>
                <w:vertAlign w:val="superscript"/>
              </w:rPr>
              <w:t>d</w:t>
            </w:r>
            <w:r w:rsidRPr="00085D89">
              <w:rPr>
                <w:rFonts w:cs="Arial"/>
                <w:bCs/>
                <w:color w:val="000000"/>
                <w:sz w:val="20"/>
              </w:rPr>
              <w:t>P</w:t>
            </w:r>
            <w:r w:rsidRPr="00085D89">
              <w:rPr>
                <w:rFonts w:cs="Arial"/>
                <w:bCs/>
                <w:color w:val="000000"/>
                <w:sz w:val="20"/>
                <w:vertAlign w:val="subscript"/>
              </w:rPr>
              <w:t>trend</w:t>
            </w:r>
            <w:proofErr w:type="spellEnd"/>
          </w:p>
        </w:tc>
        <w:tc>
          <w:tcPr>
            <w:tcW w:w="1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536FE" w:rsidRPr="00085D89" w:rsidRDefault="004536FE" w:rsidP="009D1370">
            <w:pPr>
              <w:adjustRightInd w:val="0"/>
              <w:ind w:right="104"/>
              <w:jc w:val="right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  <w:tc>
          <w:tcPr>
            <w:tcW w:w="1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6FE" w:rsidRPr="00085D89" w:rsidRDefault="004536FE" w:rsidP="009D1370">
            <w:pPr>
              <w:adjustRightInd w:val="0"/>
              <w:ind w:right="104"/>
              <w:jc w:val="right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0.40</w:t>
            </w:r>
          </w:p>
        </w:tc>
        <w:tc>
          <w:tcPr>
            <w:tcW w:w="1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E" w:rsidRPr="00085D89" w:rsidRDefault="004536FE" w:rsidP="009D1370">
            <w:pPr>
              <w:adjustRightInd w:val="0"/>
              <w:ind w:right="104"/>
              <w:jc w:val="right"/>
              <w:rPr>
                <w:rFonts w:cs="Arial"/>
                <w:color w:val="000000"/>
                <w:sz w:val="20"/>
              </w:rPr>
            </w:pPr>
            <w:r w:rsidRPr="00085D89">
              <w:rPr>
                <w:rFonts w:cs="Arial"/>
                <w:color w:val="000000"/>
                <w:sz w:val="20"/>
              </w:rPr>
              <w:t>&lt;0.0001</w:t>
            </w:r>
          </w:p>
        </w:tc>
      </w:tr>
    </w:tbl>
    <w:p w:rsidR="004536FE" w:rsidRDefault="004536FE" w:rsidP="004536FE">
      <w:pPr>
        <w:rPr>
          <w:b/>
          <w:szCs w:val="24"/>
        </w:rPr>
      </w:pPr>
    </w:p>
    <w:p w:rsidR="004536FE" w:rsidRDefault="004536FE" w:rsidP="004536FE"/>
    <w:p w:rsidR="004536FE" w:rsidRDefault="004536FE" w:rsidP="004536FE">
      <w:pPr>
        <w:jc w:val="both"/>
        <w:rPr>
          <w:rFonts w:cs="Arial"/>
          <w:bCs/>
          <w:color w:val="000000"/>
          <w:sz w:val="20"/>
          <w:szCs w:val="18"/>
        </w:rPr>
      </w:pPr>
      <w:proofErr w:type="spellStart"/>
      <w:proofErr w:type="gramStart"/>
      <w:r w:rsidRPr="00D526D6">
        <w:rPr>
          <w:rFonts w:cs="Arial"/>
          <w:bCs/>
          <w:color w:val="000000"/>
          <w:sz w:val="20"/>
          <w:szCs w:val="18"/>
          <w:vertAlign w:val="superscript"/>
        </w:rPr>
        <w:t>a</w:t>
      </w:r>
      <w:r w:rsidRPr="00580E13">
        <w:rPr>
          <w:rFonts w:cs="Arial"/>
          <w:bCs/>
          <w:color w:val="000000"/>
          <w:sz w:val="20"/>
          <w:szCs w:val="18"/>
        </w:rPr>
        <w:t>GM</w:t>
      </w:r>
      <w:proofErr w:type="spellEnd"/>
      <w:proofErr w:type="gramEnd"/>
      <w:r w:rsidRPr="00580E13">
        <w:rPr>
          <w:rFonts w:cs="Arial"/>
          <w:bCs/>
          <w:color w:val="000000"/>
          <w:sz w:val="20"/>
          <w:szCs w:val="18"/>
        </w:rPr>
        <w:t>: geometric mean</w:t>
      </w:r>
      <w:r>
        <w:rPr>
          <w:rFonts w:cs="Arial"/>
          <w:bCs/>
          <w:color w:val="000000"/>
          <w:sz w:val="20"/>
          <w:szCs w:val="18"/>
        </w:rPr>
        <w:t xml:space="preserve">.  </w:t>
      </w:r>
    </w:p>
    <w:p w:rsidR="004536FE" w:rsidRDefault="004536FE" w:rsidP="004536FE">
      <w:pPr>
        <w:rPr>
          <w:rFonts w:cs="Arial"/>
          <w:sz w:val="20"/>
          <w:szCs w:val="18"/>
        </w:rPr>
      </w:pPr>
      <w:proofErr w:type="spellStart"/>
      <w:proofErr w:type="gramStart"/>
      <w:r>
        <w:rPr>
          <w:rFonts w:cs="Arial"/>
          <w:sz w:val="20"/>
          <w:szCs w:val="18"/>
          <w:vertAlign w:val="superscript"/>
        </w:rPr>
        <w:t>b</w:t>
      </w:r>
      <w:r w:rsidRPr="00580E13">
        <w:rPr>
          <w:rFonts w:cs="Arial"/>
          <w:sz w:val="20"/>
          <w:szCs w:val="18"/>
        </w:rPr>
        <w:t>Analyses</w:t>
      </w:r>
      <w:proofErr w:type="spellEnd"/>
      <w:proofErr w:type="gramEnd"/>
      <w:r w:rsidRPr="00580E13">
        <w:rPr>
          <w:rFonts w:cs="Arial"/>
          <w:sz w:val="20"/>
          <w:szCs w:val="18"/>
        </w:rPr>
        <w:t xml:space="preserve"> stratified by </w:t>
      </w:r>
      <w:r>
        <w:rPr>
          <w:rFonts w:cs="Arial"/>
          <w:sz w:val="20"/>
          <w:szCs w:val="18"/>
        </w:rPr>
        <w:t>change in percent body-fat,</w:t>
      </w:r>
      <w:r w:rsidRPr="00580E13">
        <w:rPr>
          <w:rFonts w:cs="Arial"/>
          <w:sz w:val="20"/>
          <w:szCs w:val="18"/>
        </w:rPr>
        <w:t xml:space="preserve"> using all available data</w:t>
      </w:r>
      <w:r>
        <w:rPr>
          <w:rFonts w:cs="Arial"/>
          <w:sz w:val="20"/>
          <w:szCs w:val="18"/>
        </w:rPr>
        <w:t xml:space="preserve">, . </w:t>
      </w:r>
      <w:proofErr w:type="gramStart"/>
      <w:r w:rsidRPr="00580E13">
        <w:rPr>
          <w:rFonts w:cs="Arial"/>
          <w:bCs/>
          <w:sz w:val="20"/>
          <w:szCs w:val="18"/>
        </w:rPr>
        <w:t>adjusted</w:t>
      </w:r>
      <w:proofErr w:type="gramEnd"/>
      <w:r w:rsidRPr="00580E13">
        <w:rPr>
          <w:rFonts w:cs="Arial"/>
          <w:bCs/>
          <w:sz w:val="20"/>
          <w:szCs w:val="18"/>
        </w:rPr>
        <w:t xml:space="preserve"> for age, </w:t>
      </w:r>
      <w:r w:rsidRPr="00580E13">
        <w:rPr>
          <w:rFonts w:cs="Arial"/>
          <w:sz w:val="20"/>
          <w:szCs w:val="18"/>
        </w:rPr>
        <w:t>baseline BMI (&lt;30kg/m</w:t>
      </w:r>
      <w:r w:rsidRPr="00580E13">
        <w:rPr>
          <w:rFonts w:cs="Arial"/>
          <w:sz w:val="20"/>
          <w:szCs w:val="18"/>
          <w:vertAlign w:val="superscript"/>
        </w:rPr>
        <w:t>2</w:t>
      </w:r>
      <w:r w:rsidRPr="00580E13">
        <w:rPr>
          <w:rFonts w:cs="Arial"/>
          <w:sz w:val="20"/>
          <w:szCs w:val="18"/>
        </w:rPr>
        <w:t xml:space="preserve">, </w:t>
      </w:r>
      <w:r w:rsidRPr="00580E13">
        <w:rPr>
          <w:rFonts w:cs="Arial"/>
          <w:sz w:val="20"/>
          <w:szCs w:val="18"/>
          <w:u w:val="single"/>
        </w:rPr>
        <w:t>&gt;</w:t>
      </w:r>
      <w:r w:rsidRPr="00580E13">
        <w:rPr>
          <w:rFonts w:cs="Arial"/>
          <w:sz w:val="20"/>
          <w:szCs w:val="18"/>
        </w:rPr>
        <w:t>30kg/m</w:t>
      </w:r>
      <w:r w:rsidRPr="00580E13">
        <w:rPr>
          <w:rFonts w:cs="Arial"/>
          <w:sz w:val="20"/>
          <w:szCs w:val="18"/>
          <w:vertAlign w:val="superscript"/>
        </w:rPr>
        <w:t>2</w:t>
      </w:r>
      <w:r w:rsidRPr="00580E13">
        <w:rPr>
          <w:rFonts w:cs="Arial"/>
          <w:sz w:val="20"/>
          <w:szCs w:val="18"/>
        </w:rPr>
        <w:t>), race/ethnicity</w:t>
      </w:r>
      <w:r>
        <w:rPr>
          <w:rFonts w:cs="Arial"/>
          <w:sz w:val="20"/>
          <w:szCs w:val="18"/>
        </w:rPr>
        <w:t>.</w:t>
      </w:r>
      <w:r w:rsidRPr="00580E13">
        <w:rPr>
          <w:rFonts w:cs="Arial"/>
          <w:sz w:val="20"/>
          <w:szCs w:val="18"/>
        </w:rPr>
        <w:t xml:space="preserve"> </w:t>
      </w:r>
    </w:p>
    <w:p w:rsidR="004536FE" w:rsidRDefault="004536FE" w:rsidP="004536FE">
      <w:pPr>
        <w:jc w:val="both"/>
        <w:rPr>
          <w:bCs/>
          <w:sz w:val="20"/>
        </w:rPr>
      </w:pPr>
      <w:r w:rsidRPr="00580E13">
        <w:rPr>
          <w:rFonts w:cs="Arial"/>
          <w:bCs/>
          <w:color w:val="000000"/>
          <w:sz w:val="20"/>
          <w:szCs w:val="18"/>
        </w:rPr>
        <w:t>P</w:t>
      </w:r>
      <w:r w:rsidRPr="006D3FA6">
        <w:rPr>
          <w:rFonts w:cs="Arial"/>
          <w:bCs/>
          <w:color w:val="000000"/>
          <w:sz w:val="20"/>
          <w:szCs w:val="18"/>
          <w:vertAlign w:val="superscript"/>
        </w:rPr>
        <w:t>c</w:t>
      </w:r>
      <w:r w:rsidRPr="00580E13">
        <w:rPr>
          <w:rFonts w:cs="Arial"/>
          <w:bCs/>
          <w:color w:val="000000"/>
          <w:sz w:val="20"/>
          <w:szCs w:val="18"/>
        </w:rPr>
        <w:t xml:space="preserve">: </w:t>
      </w:r>
      <w:r w:rsidRPr="009E75B6">
        <w:rPr>
          <w:bCs/>
          <w:color w:val="000000"/>
          <w:sz w:val="20"/>
        </w:rPr>
        <w:t xml:space="preserve">p-value </w:t>
      </w:r>
      <w:r w:rsidRPr="00F316FD">
        <w:rPr>
          <w:bCs/>
          <w:color w:val="000000"/>
          <w:sz w:val="20"/>
        </w:rPr>
        <w:t xml:space="preserve">obtained from </w:t>
      </w:r>
      <w:r w:rsidRPr="00F316FD">
        <w:rPr>
          <w:bCs/>
          <w:sz w:val="20"/>
        </w:rPr>
        <w:t>GEE model comparing the difference in change of biomarkers from baseline to 12-month</w:t>
      </w:r>
      <w:r>
        <w:rPr>
          <w:bCs/>
          <w:sz w:val="20"/>
        </w:rPr>
        <w:t>s</w:t>
      </w:r>
      <w:r w:rsidRPr="00F316FD">
        <w:rPr>
          <w:bCs/>
          <w:sz w:val="20"/>
        </w:rPr>
        <w:t xml:space="preserve"> in intervention group vs control within strata of change in percent body</w:t>
      </w:r>
      <w:r>
        <w:rPr>
          <w:bCs/>
          <w:sz w:val="20"/>
        </w:rPr>
        <w:t>-</w:t>
      </w:r>
      <w:r w:rsidRPr="00F316FD">
        <w:rPr>
          <w:bCs/>
          <w:sz w:val="20"/>
        </w:rPr>
        <w:t>fat.</w:t>
      </w:r>
    </w:p>
    <w:p w:rsidR="004536FE" w:rsidRPr="00F316FD" w:rsidRDefault="004536FE" w:rsidP="004536FE">
      <w:pPr>
        <w:jc w:val="both"/>
        <w:rPr>
          <w:bCs/>
          <w:color w:val="000000"/>
          <w:sz w:val="20"/>
        </w:rPr>
      </w:pPr>
      <w:proofErr w:type="spellStart"/>
      <w:proofErr w:type="gramStart"/>
      <w:r w:rsidRPr="006D3FA6">
        <w:rPr>
          <w:rFonts w:cs="Arial"/>
          <w:bCs/>
          <w:color w:val="000000"/>
          <w:sz w:val="20"/>
          <w:szCs w:val="18"/>
          <w:vertAlign w:val="superscript"/>
        </w:rPr>
        <w:t>d</w:t>
      </w:r>
      <w:r w:rsidRPr="00580E13">
        <w:rPr>
          <w:rFonts w:cs="Arial"/>
          <w:bCs/>
          <w:color w:val="000000"/>
          <w:sz w:val="20"/>
          <w:szCs w:val="18"/>
        </w:rPr>
        <w:t>P</w:t>
      </w:r>
      <w:r>
        <w:rPr>
          <w:rFonts w:cs="Arial"/>
          <w:bCs/>
          <w:color w:val="000000"/>
          <w:sz w:val="20"/>
          <w:szCs w:val="18"/>
          <w:vertAlign w:val="subscript"/>
        </w:rPr>
        <w:t>trend</w:t>
      </w:r>
      <w:proofErr w:type="spellEnd"/>
      <w:proofErr w:type="gramEnd"/>
      <w:r w:rsidRPr="00580E13">
        <w:rPr>
          <w:rFonts w:cs="Arial"/>
          <w:bCs/>
          <w:color w:val="000000"/>
          <w:sz w:val="20"/>
          <w:szCs w:val="18"/>
        </w:rPr>
        <w:t xml:space="preserve">: </w:t>
      </w:r>
      <w:r w:rsidRPr="009E75B6">
        <w:rPr>
          <w:bCs/>
          <w:color w:val="000000"/>
          <w:sz w:val="20"/>
        </w:rPr>
        <w:t xml:space="preserve">p-value obtained from </w:t>
      </w:r>
      <w:r w:rsidRPr="009E75B6">
        <w:rPr>
          <w:bCs/>
          <w:sz w:val="20"/>
        </w:rPr>
        <w:t xml:space="preserve">GEE model testing the </w:t>
      </w:r>
      <w:r w:rsidRPr="009E75B6">
        <w:rPr>
          <w:bCs/>
          <w:color w:val="000000"/>
          <w:sz w:val="20"/>
        </w:rPr>
        <w:t xml:space="preserve">linear trend in the change of the biomarkers from baseline to 12-month </w:t>
      </w:r>
      <w:r w:rsidRPr="00F316FD">
        <w:rPr>
          <w:bCs/>
          <w:color w:val="000000"/>
          <w:sz w:val="20"/>
        </w:rPr>
        <w:t>from Control through all levels</w:t>
      </w:r>
      <w:r w:rsidRPr="00F316FD">
        <w:rPr>
          <w:bCs/>
          <w:sz w:val="20"/>
        </w:rPr>
        <w:t xml:space="preserve"> of change in percent body</w:t>
      </w:r>
      <w:r>
        <w:rPr>
          <w:bCs/>
          <w:sz w:val="20"/>
        </w:rPr>
        <w:t>-</w:t>
      </w:r>
      <w:r w:rsidRPr="00F316FD">
        <w:rPr>
          <w:bCs/>
          <w:sz w:val="20"/>
        </w:rPr>
        <w:t>fat</w:t>
      </w:r>
      <w:r w:rsidRPr="00F316FD">
        <w:rPr>
          <w:bCs/>
          <w:color w:val="000000"/>
          <w:sz w:val="20"/>
        </w:rPr>
        <w:t>.</w:t>
      </w:r>
    </w:p>
    <w:p w:rsidR="004536FE" w:rsidRDefault="004536FE" w:rsidP="004536FE">
      <w:pPr>
        <w:jc w:val="both"/>
        <w:rPr>
          <w:rFonts w:cs="Arial"/>
          <w:bCs/>
          <w:color w:val="000000"/>
          <w:sz w:val="20"/>
          <w:szCs w:val="18"/>
        </w:rPr>
      </w:pPr>
      <w:proofErr w:type="gramStart"/>
      <w:r>
        <w:rPr>
          <w:rFonts w:cs="Arial"/>
          <w:bCs/>
          <w:color w:val="000000"/>
          <w:sz w:val="20"/>
          <w:szCs w:val="18"/>
          <w:vertAlign w:val="superscript"/>
        </w:rPr>
        <w:t>e</w:t>
      </w:r>
      <w:proofErr w:type="gramEnd"/>
      <w:r w:rsidRPr="00580E13">
        <w:rPr>
          <w:rFonts w:cs="Arial"/>
          <w:bCs/>
          <w:color w:val="000000"/>
          <w:sz w:val="20"/>
          <w:szCs w:val="18"/>
        </w:rPr>
        <w:t xml:space="preserve"> Change at 12-month from baseline</w:t>
      </w:r>
    </w:p>
    <w:p w:rsidR="004536FE" w:rsidRDefault="004536FE" w:rsidP="004536FE">
      <w:pPr>
        <w:jc w:val="both"/>
        <w:rPr>
          <w:rFonts w:cs="Arial"/>
          <w:bCs/>
          <w:color w:val="000000"/>
          <w:sz w:val="20"/>
          <w:szCs w:val="18"/>
        </w:rPr>
      </w:pPr>
    </w:p>
    <w:p w:rsidR="00356783" w:rsidRDefault="001F41B4"/>
    <w:sectPr w:rsidR="0035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FE"/>
    <w:rsid w:val="001F41B4"/>
    <w:rsid w:val="00291E32"/>
    <w:rsid w:val="002E78C1"/>
    <w:rsid w:val="004536FE"/>
    <w:rsid w:val="00532097"/>
    <w:rsid w:val="00EE1DB8"/>
    <w:rsid w:val="00E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F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F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Duggan, Catherine R</dc:creator>
  <cp:lastModifiedBy>Kostelnik, Julie</cp:lastModifiedBy>
  <cp:revision>2</cp:revision>
  <dcterms:created xsi:type="dcterms:W3CDTF">2016-04-21T14:05:00Z</dcterms:created>
  <dcterms:modified xsi:type="dcterms:W3CDTF">2016-04-21T14:05:00Z</dcterms:modified>
</cp:coreProperties>
</file>