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6F" w:rsidRPr="00716772" w:rsidRDefault="0070376F" w:rsidP="0070376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Supplemental Figure Legends</w:t>
      </w:r>
    </w:p>
    <w:p w:rsidR="00757435" w:rsidRPr="00716772" w:rsidRDefault="000700B8" w:rsidP="000700B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16772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="002E1E36" w:rsidRPr="00716772">
        <w:rPr>
          <w:rFonts w:ascii="Times New Roman" w:hAnsi="Times New Roman" w:cs="Times New Roman"/>
          <w:b/>
          <w:sz w:val="24"/>
          <w:szCs w:val="24"/>
        </w:rPr>
        <w:t xml:space="preserve">Characterization of </w:t>
      </w:r>
      <w:proofErr w:type="spellStart"/>
      <w:r w:rsidR="002E1E36" w:rsidRPr="00716772">
        <w:rPr>
          <w:rFonts w:ascii="Times New Roman" w:hAnsi="Times New Roman" w:cs="Times New Roman"/>
          <w:b/>
          <w:sz w:val="24"/>
          <w:szCs w:val="24"/>
        </w:rPr>
        <w:t>aAVC</w:t>
      </w:r>
      <w:proofErr w:type="spellEnd"/>
      <w:r w:rsidR="002E1E36" w:rsidRPr="00716772">
        <w:rPr>
          <w:rFonts w:ascii="Times New Roman" w:hAnsi="Times New Roman" w:cs="Times New Roman"/>
          <w:b/>
          <w:sz w:val="24"/>
          <w:szCs w:val="24"/>
        </w:rPr>
        <w:t xml:space="preserve">-OVA </w:t>
      </w:r>
    </w:p>
    <w:p w:rsidR="000700B8" w:rsidRPr="00716772" w:rsidRDefault="00EB23AB" w:rsidP="000700B8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7B6A">
        <w:rPr>
          <w:b/>
          <w:bCs/>
          <w:color w:val="000000" w:themeColor="text1"/>
        </w:rPr>
        <w:t>(A)</w:t>
      </w:r>
      <w:r>
        <w:rPr>
          <w:bCs/>
          <w:color w:val="000000" w:themeColor="text1"/>
        </w:rPr>
        <w:t xml:space="preserve"> 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</w:t>
      </w:r>
      <w:proofErr w:type="spellEnd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-OVA were established using NIH3T3 as vector cells by loading with α-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GalCer</w:t>
      </w:r>
      <w:proofErr w:type="spellEnd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co-electroporation with OVA and CD1d mRNA. </w:t>
      </w:r>
      <w:r w:rsidR="00504396" w:rsidRPr="005043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(B, C)</w:t>
      </w:r>
      <w:r w:rsidR="005043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Eight hours after electroporation, CD1d expression</w:t>
      </w:r>
      <w:r w:rsidR="005043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4396"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5043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504396"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the amounts of OVA protein</w:t>
      </w:r>
      <w:r w:rsidR="005043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04396"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5043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504396"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assessed by flow 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cytometry</w:t>
      </w:r>
      <w:proofErr w:type="spellEnd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700B8"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solid, 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</w:t>
      </w:r>
      <w:proofErr w:type="spellEnd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-OVA; bold, NIH3T3; shaded, 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isotype</w:t>
      </w:r>
      <w:proofErr w:type="spellEnd"/>
      <w:r w:rsidR="000700B8"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ELISA</w:t>
      </w:r>
      <w:r w:rsidR="005043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(ITEA Inc.)</w:t>
      </w:r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04396"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5043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504396"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5043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addition, the NKT cell stimulating capacity of 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</w:t>
      </w:r>
      <w:proofErr w:type="spellEnd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was examined by co-culturing 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</w:t>
      </w:r>
      <w:proofErr w:type="spellEnd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-OVA with the Vα14 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iNKT</w:t>
      </w:r>
      <w:proofErr w:type="spellEnd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cell </w:t>
      </w:r>
      <w:proofErr w:type="spellStart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hybridoma</w:t>
      </w:r>
      <w:proofErr w:type="spellEnd"/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1.2</w:t>
      </w:r>
      <w:r w:rsidR="00843C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kindly provided by Dr. </w:t>
      </w:r>
      <w:r w:rsidR="00843CA3" w:rsidRPr="00843C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 </w:t>
      </w:r>
      <w:proofErr w:type="spellStart"/>
      <w:r w:rsidR="00843CA3" w:rsidRPr="00843C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Kronenberg</w:t>
      </w:r>
      <w:proofErr w:type="spellEnd"/>
      <w:r w:rsidR="00843CA3" w:rsidRPr="00843C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(La Jolla Inst., La Jolla, CA) </w:t>
      </w:r>
      <w:r w:rsidR="000700B8"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measuring IL-2 production.</w:t>
      </w:r>
    </w:p>
    <w:p w:rsidR="00843CA3" w:rsidRPr="00843CA3" w:rsidRDefault="00843CA3" w:rsidP="007230EC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230EC" w:rsidRPr="00716772" w:rsidRDefault="007230EC" w:rsidP="007230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 S</w:t>
      </w:r>
      <w:r w:rsidR="00EB23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16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1F4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Analysis of </w:t>
      </w:r>
      <w:r w:rsidRPr="0071677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T cells </w:t>
      </w:r>
      <w:r w:rsidR="00011F4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in spleen and TIL </w:t>
      </w:r>
      <w:r w:rsidRPr="0071677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after immunization of tumor-bearing mice with </w:t>
      </w:r>
      <w:proofErr w:type="spellStart"/>
      <w:r w:rsidRPr="0071677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</w:t>
      </w:r>
      <w:r w:rsidR="0085007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AVC</w:t>
      </w:r>
      <w:proofErr w:type="spellEnd"/>
      <w:r w:rsidR="0085007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-OVA</w:t>
      </w:r>
    </w:p>
    <w:p w:rsidR="007230EC" w:rsidRPr="00716772" w:rsidRDefault="007230EC" w:rsidP="007230EC">
      <w:pPr>
        <w:spacing w:line="48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6772">
        <w:rPr>
          <w:rFonts w:ascii="Times New Roman" w:hAnsi="Times New Roman" w:cs="Times New Roman"/>
          <w:color w:val="000000" w:themeColor="text1"/>
          <w:sz w:val="24"/>
          <w:szCs w:val="24"/>
        </w:rPr>
        <w:t>C57BL/6 mice were injected with 2x10</w:t>
      </w:r>
      <w:r w:rsidRPr="007167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716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MO4 cells </w:t>
      </w:r>
      <w:proofErr w:type="spellStart"/>
      <w:proofErr w:type="gramStart"/>
      <w:r w:rsidRPr="00716772">
        <w:rPr>
          <w:rFonts w:ascii="Times New Roman" w:hAnsi="Times New Roman" w:cs="Times New Roman"/>
          <w:color w:val="000000" w:themeColor="text1"/>
          <w:sz w:val="24"/>
          <w:szCs w:val="24"/>
        </w:rPr>
        <w:t>s.c</w:t>
      </w:r>
      <w:proofErr w:type="gramEnd"/>
      <w:r w:rsidRPr="007167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End"/>
      <w:r w:rsidRPr="00716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treated with or without 5x10</w:t>
      </w:r>
      <w:r w:rsidRPr="007167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716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6772">
        <w:rPr>
          <w:rFonts w:ascii="Times New Roman" w:hAnsi="Times New Roman" w:cs="Times New Roman"/>
          <w:color w:val="000000" w:themeColor="text1"/>
          <w:sz w:val="24"/>
          <w:szCs w:val="24"/>
        </w:rPr>
        <w:t>aAVC</w:t>
      </w:r>
      <w:proofErr w:type="spellEnd"/>
      <w:r w:rsidRPr="00716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-OVA at day 7. </w:t>
      </w:r>
      <w:r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frequency of CD4 T cells, CD8 T cells in the spleen </w:t>
      </w:r>
      <w:r w:rsidR="00011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TIL </w:t>
      </w:r>
      <w:r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 analyzed at day14 by flow </w:t>
      </w:r>
      <w:proofErr w:type="spellStart"/>
      <w:r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cytometry</w:t>
      </w:r>
      <w:proofErr w:type="spellEnd"/>
      <w:r w:rsidRPr="00716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(n=4-7) </w:t>
      </w:r>
    </w:p>
    <w:p w:rsidR="007230EC" w:rsidRPr="00716772" w:rsidRDefault="007230EC" w:rsidP="007230EC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230EC" w:rsidRPr="00716772" w:rsidRDefault="002E1E36" w:rsidP="007230EC">
      <w:pPr>
        <w:spacing w:line="48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16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S</w:t>
      </w:r>
      <w:r w:rsidR="00EB2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230EC" w:rsidRPr="00716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B4E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Phagocytosis and maturation </w:t>
      </w:r>
      <w:r w:rsidR="007230EC" w:rsidRPr="0071677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of splenic dendritic cells after </w:t>
      </w:r>
      <w:r w:rsidR="007230EC" w:rsidRPr="0071677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 xml:space="preserve">administration of </w:t>
      </w:r>
      <w:proofErr w:type="spellStart"/>
      <w:r w:rsidR="007230EC" w:rsidRPr="0071677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aAVC</w:t>
      </w:r>
      <w:r w:rsidR="00B16D6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</w:t>
      </w:r>
      <w:proofErr w:type="spellEnd"/>
    </w:p>
    <w:p w:rsidR="007230EC" w:rsidRDefault="00BB4E62" w:rsidP="00BB4E62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B4E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902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BB4E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="007230EC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Phenotypic analysis of CD8a</w:t>
      </w:r>
      <w:r w:rsidR="007230EC" w:rsidRPr="00151E3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="007230EC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CD8a</w:t>
      </w:r>
      <w:r w:rsidR="007230EC" w:rsidRPr="00151E3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- </w:t>
      </w:r>
      <w:r w:rsidR="007230EC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DC subsets in the spleen 16 h</w:t>
      </w:r>
      <w:r w:rsidR="00943AEE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ours</w:t>
      </w:r>
      <w:r w:rsidR="007230EC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40 h</w:t>
      </w:r>
      <w:r w:rsidR="00943AEE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ours</w:t>
      </w:r>
      <w:r w:rsidR="007230EC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after an administration of </w:t>
      </w:r>
      <w:proofErr w:type="spellStart"/>
      <w:r w:rsidR="007230EC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aAVCs</w:t>
      </w:r>
      <w:proofErr w:type="spellEnd"/>
      <w:r w:rsidR="007230EC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(n=4)</w:t>
      </w:r>
      <w:r w:rsidR="007218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18EB" w:rsidRPr="00BB4E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902A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7218EB" w:rsidRPr="00BB4E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7218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Uptake of CFSE-labeled </w:t>
      </w:r>
      <w:proofErr w:type="spell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aAVCs</w:t>
      </w:r>
      <w:proofErr w:type="spell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DCs (left) and CD86 expression of DCs (middle) at 12 hours after administration of CFSE-labeled </w:t>
      </w:r>
      <w:proofErr w:type="spell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</w:t>
      </w:r>
      <w:r w:rsidR="005043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proofErr w:type="spell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was measured by flow </w:t>
      </w:r>
      <w:proofErr w:type="spell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cytometry</w:t>
      </w:r>
      <w:proofErr w:type="spell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(shaded, </w:t>
      </w:r>
      <w:proofErr w:type="spell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isotype</w:t>
      </w:r>
      <w:proofErr w:type="spell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blue naïve CD8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DCs, red, </w:t>
      </w:r>
      <w:proofErr w:type="spell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</w:t>
      </w:r>
      <w:proofErr w:type="spell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-injected CD8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DCs, green, </w:t>
      </w:r>
      <w:proofErr w:type="spell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aAVC-phagocytosed</w:t>
      </w:r>
      <w:proofErr w:type="spell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CD8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DCs). </w:t>
      </w:r>
      <w:proofErr w:type="spell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Immunofluorescent</w:t>
      </w:r>
      <w:proofErr w:type="spell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staining (right): sorted CD11c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DC cells by MACS for analysis by confocal microscopy. (</w:t>
      </w:r>
      <w:proofErr w:type="gram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green</w:t>
      </w:r>
      <w:proofErr w:type="gram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aAVC</w:t>
      </w:r>
      <w:proofErr w:type="spellEnd"/>
      <w:r w:rsidR="007218EB" w:rsidRPr="00BB4E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fragments; red ,CD86; blue, DAPI) (n=5)</w:t>
      </w:r>
    </w:p>
    <w:p w:rsidR="002E1789" w:rsidRPr="00DC7286" w:rsidRDefault="002E1789" w:rsidP="00BB4E62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6E59" w:rsidRPr="00DC7286" w:rsidRDefault="005D6E59" w:rsidP="005D6E59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7286">
        <w:rPr>
          <w:rFonts w:ascii="Times New Roman" w:hAnsi="Times New Roman" w:cs="Times New Roman" w:hint="eastAsia"/>
          <w:b/>
          <w:sz w:val="24"/>
          <w:szCs w:val="24"/>
        </w:rPr>
        <w:t xml:space="preserve">Figure S4. </w:t>
      </w:r>
      <w:proofErr w:type="gramStart"/>
      <w:r w:rsidRPr="00DC7286">
        <w:rPr>
          <w:rFonts w:ascii="Times New Roman" w:hAnsi="Times New Roman" w:cs="Times New Roman"/>
          <w:b/>
          <w:sz w:val="24"/>
          <w:szCs w:val="24"/>
        </w:rPr>
        <w:t>Confirmation of depletion of the XCR1</w:t>
      </w:r>
      <w:r w:rsidRPr="00DC7286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DC7286">
        <w:rPr>
          <w:rFonts w:ascii="Times New Roman" w:hAnsi="Times New Roman" w:cs="Times New Roman"/>
          <w:b/>
          <w:sz w:val="24"/>
          <w:szCs w:val="24"/>
        </w:rPr>
        <w:t xml:space="preserve"> subset of DCs in DT-treated XCR1-DTR-venus mice.</w:t>
      </w:r>
      <w:proofErr w:type="gramEnd"/>
    </w:p>
    <w:p w:rsidR="005D6E59" w:rsidRPr="00DC7286" w:rsidRDefault="005D6E59" w:rsidP="005D6E59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7286">
        <w:rPr>
          <w:rFonts w:ascii="Times New Roman" w:hAnsi="Times New Roman" w:cs="Times New Roman"/>
          <w:sz w:val="24"/>
          <w:szCs w:val="24"/>
        </w:rPr>
        <w:t>After gating on CD11c</w:t>
      </w:r>
      <w:r w:rsidRPr="00DC728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C7286">
        <w:rPr>
          <w:rFonts w:ascii="Times New Roman" w:hAnsi="Times New Roman" w:cs="Times New Roman"/>
          <w:sz w:val="24"/>
          <w:szCs w:val="24"/>
        </w:rPr>
        <w:t>MHC class II</w:t>
      </w:r>
      <w:r w:rsidRPr="00DC728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C7286">
        <w:rPr>
          <w:rFonts w:ascii="Times New Roman" w:hAnsi="Times New Roman" w:cs="Times New Roman"/>
          <w:sz w:val="24"/>
          <w:szCs w:val="24"/>
        </w:rPr>
        <w:t xml:space="preserve"> DCs, XCR1</w:t>
      </w:r>
      <w:r w:rsidRPr="00DC728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C7286">
        <w:rPr>
          <w:rFonts w:ascii="Times New Roman" w:hAnsi="Times New Roman" w:cs="Times New Roman"/>
          <w:sz w:val="24"/>
          <w:szCs w:val="24"/>
        </w:rPr>
        <w:t xml:space="preserve"> DCs in spleen (A, B) and superficial LNs (C, D) from </w:t>
      </w:r>
      <w:r w:rsidRPr="00DC7286">
        <w:rPr>
          <w:rFonts w:ascii="Times New Roman" w:hAnsi="Times New Roman" w:cs="Times New Roman" w:hint="eastAsia"/>
          <w:sz w:val="24"/>
          <w:szCs w:val="24"/>
        </w:rPr>
        <w:t>XCR1-DTR-venus mice</w:t>
      </w:r>
      <w:r w:rsidRPr="00DC7286">
        <w:rPr>
          <w:rFonts w:ascii="Times New Roman" w:hAnsi="Times New Roman" w:cs="Times New Roman"/>
          <w:sz w:val="24"/>
          <w:szCs w:val="24"/>
        </w:rPr>
        <w:t xml:space="preserve"> were analyzed by </w:t>
      </w:r>
      <w:proofErr w:type="spellStart"/>
      <w:proofErr w:type="gramStart"/>
      <w:r w:rsidRPr="00DC7286">
        <w:rPr>
          <w:rFonts w:ascii="Times New Roman" w:hAnsi="Times New Roman" w:cs="Times New Roman"/>
          <w:sz w:val="24"/>
          <w:szCs w:val="24"/>
        </w:rPr>
        <w:t>venus</w:t>
      </w:r>
      <w:proofErr w:type="spellEnd"/>
      <w:proofErr w:type="gramEnd"/>
      <w:r w:rsidRPr="00DC7286">
        <w:rPr>
          <w:rFonts w:ascii="Times New Roman" w:hAnsi="Times New Roman" w:cs="Times New Roman"/>
          <w:sz w:val="24"/>
          <w:szCs w:val="24"/>
        </w:rPr>
        <w:t xml:space="preserve"> expression. After treating with DT (</w:t>
      </w:r>
      <w:proofErr w:type="spellStart"/>
      <w:r w:rsidRPr="00DC7286">
        <w:rPr>
          <w:rFonts w:ascii="Times New Roman" w:hAnsi="Times New Roman" w:cs="Times New Roman"/>
          <w:sz w:val="24"/>
          <w:szCs w:val="24"/>
        </w:rPr>
        <w:t>diphteria</w:t>
      </w:r>
      <w:proofErr w:type="spellEnd"/>
      <w:r w:rsidRPr="00DC7286">
        <w:rPr>
          <w:rFonts w:ascii="Times New Roman" w:hAnsi="Times New Roman" w:cs="Times New Roman"/>
          <w:sz w:val="24"/>
          <w:szCs w:val="24"/>
        </w:rPr>
        <w:t xml:space="preserve"> toxin), DC subsets were analyzed using </w:t>
      </w:r>
      <w:proofErr w:type="spellStart"/>
      <w:r w:rsidRPr="00DC7286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Pr="00DC7286">
        <w:rPr>
          <w:rFonts w:ascii="Times New Roman" w:hAnsi="Times New Roman" w:cs="Times New Roman"/>
          <w:sz w:val="24"/>
          <w:szCs w:val="24"/>
        </w:rPr>
        <w:t xml:space="preserve"> for CD8a, CD11b and CD103. Cell number of splenic DC subsets (B) and SLN DC subsets (D) from DT-treated or untreated XCR1-DTR-venus mice are shown. (n=3)</w:t>
      </w:r>
    </w:p>
    <w:p w:rsidR="002E1789" w:rsidRPr="00DC7286" w:rsidRDefault="002E1789" w:rsidP="00151E34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D6E59" w:rsidRPr="00DC7286" w:rsidRDefault="005D6E59" w:rsidP="005D6E59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7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S5. Induction of an OVA-specific T cell response by </w:t>
      </w:r>
      <w:proofErr w:type="spellStart"/>
      <w:r w:rsidRPr="00DC7286">
        <w:rPr>
          <w:rFonts w:ascii="Times New Roman" w:hAnsi="Times New Roman" w:cs="Times New Roman"/>
          <w:b/>
          <w:sz w:val="24"/>
          <w:szCs w:val="24"/>
        </w:rPr>
        <w:t>aAVC</w:t>
      </w:r>
      <w:proofErr w:type="spellEnd"/>
      <w:r w:rsidRPr="00DC7286">
        <w:rPr>
          <w:rFonts w:ascii="Times New Roman" w:hAnsi="Times New Roman" w:cs="Times New Roman"/>
          <w:b/>
          <w:sz w:val="24"/>
          <w:szCs w:val="24"/>
        </w:rPr>
        <w:t xml:space="preserve">-OVA in a dose-dependent manner  </w:t>
      </w:r>
    </w:p>
    <w:p w:rsidR="005D6E59" w:rsidRPr="00DC7286" w:rsidRDefault="005D6E59" w:rsidP="005D6E59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7286">
        <w:rPr>
          <w:rFonts w:hint="eastAsia"/>
          <w:sz w:val="24"/>
          <w:szCs w:val="24"/>
        </w:rPr>
        <w:t xml:space="preserve">C57BL/6 mice were immunized with </w:t>
      </w:r>
      <w:proofErr w:type="spellStart"/>
      <w:r w:rsidRPr="00DC7286">
        <w:rPr>
          <w:rFonts w:hint="eastAsia"/>
          <w:sz w:val="24"/>
          <w:szCs w:val="24"/>
        </w:rPr>
        <w:t>aAVC</w:t>
      </w:r>
      <w:proofErr w:type="spellEnd"/>
      <w:r w:rsidRPr="00DC7286">
        <w:rPr>
          <w:rFonts w:hint="eastAsia"/>
          <w:sz w:val="24"/>
          <w:szCs w:val="24"/>
        </w:rPr>
        <w:t>-OVA</w:t>
      </w:r>
      <w:r w:rsidRPr="00DC7286">
        <w:rPr>
          <w:sz w:val="24"/>
          <w:szCs w:val="24"/>
        </w:rPr>
        <w:t xml:space="preserve"> (5x10</w:t>
      </w:r>
      <w:r w:rsidRPr="00DC7286">
        <w:rPr>
          <w:sz w:val="24"/>
          <w:szCs w:val="24"/>
          <w:vertAlign w:val="superscript"/>
        </w:rPr>
        <w:t>5</w:t>
      </w:r>
      <w:r w:rsidRPr="00DC7286">
        <w:rPr>
          <w:sz w:val="24"/>
          <w:szCs w:val="24"/>
        </w:rPr>
        <w:t xml:space="preserve"> or 1x10</w:t>
      </w:r>
      <w:r w:rsidRPr="00DC7286">
        <w:rPr>
          <w:sz w:val="24"/>
          <w:szCs w:val="24"/>
          <w:vertAlign w:val="superscript"/>
        </w:rPr>
        <w:t>4</w:t>
      </w:r>
      <w:r w:rsidRPr="00DC7286">
        <w:rPr>
          <w:sz w:val="24"/>
          <w:szCs w:val="24"/>
        </w:rPr>
        <w:t xml:space="preserve"> cells /mouse)</w:t>
      </w:r>
      <w:r w:rsidRPr="00DC7286">
        <w:rPr>
          <w:rFonts w:hint="eastAsia"/>
          <w:sz w:val="24"/>
          <w:szCs w:val="24"/>
        </w:rPr>
        <w:t xml:space="preserve">. </w:t>
      </w:r>
      <w:r w:rsidRPr="00DC7286">
        <w:rPr>
          <w:sz w:val="24"/>
          <w:szCs w:val="24"/>
        </w:rPr>
        <w:t>One week</w:t>
      </w:r>
      <w:r w:rsidRPr="00DC7286">
        <w:rPr>
          <w:rFonts w:hint="eastAsia"/>
          <w:sz w:val="24"/>
          <w:szCs w:val="24"/>
        </w:rPr>
        <w:t xml:space="preserve"> later, the frequency of </w:t>
      </w:r>
      <w:r w:rsidRPr="00DC7286">
        <w:rPr>
          <w:bCs/>
          <w:sz w:val="24"/>
          <w:szCs w:val="24"/>
        </w:rPr>
        <w:t>OVA-tetramer</w:t>
      </w:r>
      <w:r w:rsidRPr="00DC7286">
        <w:rPr>
          <w:bCs/>
          <w:sz w:val="24"/>
          <w:szCs w:val="24"/>
          <w:vertAlign w:val="superscript"/>
        </w:rPr>
        <w:t xml:space="preserve">+ </w:t>
      </w:r>
      <w:r w:rsidRPr="00DC7286">
        <w:rPr>
          <w:rFonts w:hint="eastAsia"/>
          <w:sz w:val="24"/>
          <w:szCs w:val="24"/>
        </w:rPr>
        <w:t>CD8</w:t>
      </w:r>
      <w:r w:rsidRPr="00DC7286">
        <w:rPr>
          <w:sz w:val="24"/>
          <w:szCs w:val="24"/>
          <w:vertAlign w:val="superscript"/>
        </w:rPr>
        <w:t>+</w:t>
      </w:r>
      <w:r w:rsidRPr="00DC7286">
        <w:rPr>
          <w:rFonts w:hint="eastAsia"/>
          <w:sz w:val="24"/>
          <w:szCs w:val="24"/>
        </w:rPr>
        <w:t xml:space="preserve"> T cells </w:t>
      </w:r>
      <w:r w:rsidRPr="00DC7286">
        <w:rPr>
          <w:sz w:val="24"/>
          <w:szCs w:val="24"/>
        </w:rPr>
        <w:t>in spleen was</w:t>
      </w:r>
      <w:r w:rsidRPr="00DC7286">
        <w:rPr>
          <w:rFonts w:hint="eastAsia"/>
          <w:sz w:val="24"/>
          <w:szCs w:val="24"/>
        </w:rPr>
        <w:t xml:space="preserve"> </w:t>
      </w:r>
      <w:r w:rsidRPr="00DC7286">
        <w:rPr>
          <w:sz w:val="24"/>
          <w:szCs w:val="24"/>
        </w:rPr>
        <w:t>assessed</w:t>
      </w:r>
      <w:r w:rsidRPr="00DC72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C7286">
        <w:rPr>
          <w:sz w:val="24"/>
          <w:szCs w:val="24"/>
        </w:rPr>
        <w:t xml:space="preserve">Numbers are mean </w:t>
      </w:r>
      <w:r w:rsidRPr="00DC7286">
        <w:rPr>
          <w:bCs/>
          <w:sz w:val="24"/>
          <w:szCs w:val="24"/>
        </w:rPr>
        <w:t>±SEM.</w:t>
      </w:r>
      <w:r w:rsidRPr="00DC7286">
        <w:rPr>
          <w:b/>
          <w:sz w:val="24"/>
          <w:szCs w:val="24"/>
        </w:rPr>
        <w:t xml:space="preserve"> </w:t>
      </w:r>
      <w:r w:rsidRPr="00DC7286">
        <w:rPr>
          <w:rFonts w:ascii="Times New Roman" w:hAnsi="Times New Roman" w:cs="Times New Roman"/>
          <w:bCs/>
          <w:sz w:val="24"/>
          <w:szCs w:val="24"/>
        </w:rPr>
        <w:t>(n=5)</w:t>
      </w:r>
    </w:p>
    <w:p w:rsidR="0070376F" w:rsidRPr="00716772" w:rsidRDefault="002E1789" w:rsidP="00151E34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1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70376F" w:rsidRPr="00716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66" w:rsidRDefault="00BB7966" w:rsidP="00AF0A7A">
      <w:r>
        <w:separator/>
      </w:r>
    </w:p>
  </w:endnote>
  <w:endnote w:type="continuationSeparator" w:id="0">
    <w:p w:rsidR="00BB7966" w:rsidRDefault="00BB7966" w:rsidP="00AF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66" w:rsidRDefault="00BB7966" w:rsidP="00AF0A7A">
      <w:r>
        <w:separator/>
      </w:r>
    </w:p>
  </w:footnote>
  <w:footnote w:type="continuationSeparator" w:id="0">
    <w:p w:rsidR="00BB7966" w:rsidRDefault="00BB7966" w:rsidP="00AF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044D"/>
    <w:multiLevelType w:val="hybridMultilevel"/>
    <w:tmpl w:val="FA9E03CC"/>
    <w:lvl w:ilvl="0" w:tplc="2204456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A10E5E"/>
    <w:multiLevelType w:val="hybridMultilevel"/>
    <w:tmpl w:val="D556BDF2"/>
    <w:lvl w:ilvl="0" w:tplc="DCFEABA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634A07"/>
    <w:multiLevelType w:val="hybridMultilevel"/>
    <w:tmpl w:val="48402346"/>
    <w:lvl w:ilvl="0" w:tplc="868C225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ancer Research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0srzxw04ttvsyeddv35a0td0r9apz2550p5&quot;&gt;2015 1105 verFujii file(new20140124) Copy2 Copy Copy&lt;record-ids&gt;&lt;item&gt;16893&lt;/item&gt;&lt;item&gt;18819&lt;/item&gt;&lt;item&gt;21052&lt;/item&gt;&lt;item&gt;21638&lt;/item&gt;&lt;/record-ids&gt;&lt;/item&gt;&lt;/Libraries&gt;"/>
  </w:docVars>
  <w:rsids>
    <w:rsidRoot w:val="000700B8"/>
    <w:rsid w:val="00011F4A"/>
    <w:rsid w:val="000653FF"/>
    <w:rsid w:val="000700B8"/>
    <w:rsid w:val="000A163F"/>
    <w:rsid w:val="000A4DDB"/>
    <w:rsid w:val="000E3D30"/>
    <w:rsid w:val="000E7633"/>
    <w:rsid w:val="00151E34"/>
    <w:rsid w:val="0020129E"/>
    <w:rsid w:val="002822F1"/>
    <w:rsid w:val="00283073"/>
    <w:rsid w:val="002E1789"/>
    <w:rsid w:val="002E1E36"/>
    <w:rsid w:val="002E71BA"/>
    <w:rsid w:val="002F48A8"/>
    <w:rsid w:val="00364BFB"/>
    <w:rsid w:val="003812E1"/>
    <w:rsid w:val="003B578F"/>
    <w:rsid w:val="003E294A"/>
    <w:rsid w:val="00433EF9"/>
    <w:rsid w:val="00477F91"/>
    <w:rsid w:val="004920FC"/>
    <w:rsid w:val="004C29E9"/>
    <w:rsid w:val="004F67E4"/>
    <w:rsid w:val="00504396"/>
    <w:rsid w:val="00517C1A"/>
    <w:rsid w:val="00584FCB"/>
    <w:rsid w:val="005D6E59"/>
    <w:rsid w:val="00636BE3"/>
    <w:rsid w:val="00656B34"/>
    <w:rsid w:val="0067268F"/>
    <w:rsid w:val="006A3B94"/>
    <w:rsid w:val="0070376F"/>
    <w:rsid w:val="0070574A"/>
    <w:rsid w:val="0071475E"/>
    <w:rsid w:val="00716772"/>
    <w:rsid w:val="007218EB"/>
    <w:rsid w:val="007230EC"/>
    <w:rsid w:val="00757435"/>
    <w:rsid w:val="00786EC6"/>
    <w:rsid w:val="007B728E"/>
    <w:rsid w:val="00843CA3"/>
    <w:rsid w:val="00850078"/>
    <w:rsid w:val="008511FF"/>
    <w:rsid w:val="00870E89"/>
    <w:rsid w:val="008E6280"/>
    <w:rsid w:val="00901987"/>
    <w:rsid w:val="00902AB1"/>
    <w:rsid w:val="00943AEE"/>
    <w:rsid w:val="00954365"/>
    <w:rsid w:val="00972D4B"/>
    <w:rsid w:val="00AF0718"/>
    <w:rsid w:val="00AF0A7A"/>
    <w:rsid w:val="00B16D62"/>
    <w:rsid w:val="00BB4E62"/>
    <w:rsid w:val="00BB7966"/>
    <w:rsid w:val="00BD6F61"/>
    <w:rsid w:val="00BE04AF"/>
    <w:rsid w:val="00C36537"/>
    <w:rsid w:val="00C62747"/>
    <w:rsid w:val="00C911A1"/>
    <w:rsid w:val="00CC3E8B"/>
    <w:rsid w:val="00CF4636"/>
    <w:rsid w:val="00D9477A"/>
    <w:rsid w:val="00DB010D"/>
    <w:rsid w:val="00DB44F5"/>
    <w:rsid w:val="00DC7286"/>
    <w:rsid w:val="00E1666D"/>
    <w:rsid w:val="00E222EC"/>
    <w:rsid w:val="00E46CDC"/>
    <w:rsid w:val="00E515BE"/>
    <w:rsid w:val="00E53E9D"/>
    <w:rsid w:val="00E60CF9"/>
    <w:rsid w:val="00E851FF"/>
    <w:rsid w:val="00EB23AB"/>
    <w:rsid w:val="00EF1008"/>
    <w:rsid w:val="00EF7047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A7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F0A7A"/>
  </w:style>
  <w:style w:type="paragraph" w:styleId="Footer">
    <w:name w:val="footer"/>
    <w:basedOn w:val="Normal"/>
    <w:link w:val="FooterChar"/>
    <w:uiPriority w:val="99"/>
    <w:unhideWhenUsed/>
    <w:rsid w:val="00AF0A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0A7A"/>
  </w:style>
  <w:style w:type="table" w:styleId="TableGrid">
    <w:name w:val="Table Grid"/>
    <w:basedOn w:val="TableNormal"/>
    <w:uiPriority w:val="39"/>
    <w:rsid w:val="0070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E53E9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0A163F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0A163F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0A163F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0A163F"/>
    <w:rPr>
      <w:rFonts w:ascii="Century" w:hAnsi="Century"/>
      <w:noProof/>
      <w:sz w:val="20"/>
    </w:rPr>
  </w:style>
  <w:style w:type="paragraph" w:styleId="ListParagraph">
    <w:name w:val="List Paragraph"/>
    <w:basedOn w:val="Normal"/>
    <w:uiPriority w:val="34"/>
    <w:qFormat/>
    <w:rsid w:val="00BB4E62"/>
    <w:pPr>
      <w:ind w:leftChars="400" w:left="84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129E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29E"/>
    <w:rPr>
      <w:rFonts w:ascii="MS Gothic" w:eastAsia="MS Gothic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A7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F0A7A"/>
  </w:style>
  <w:style w:type="paragraph" w:styleId="Footer">
    <w:name w:val="footer"/>
    <w:basedOn w:val="Normal"/>
    <w:link w:val="FooterChar"/>
    <w:uiPriority w:val="99"/>
    <w:unhideWhenUsed/>
    <w:rsid w:val="00AF0A7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0A7A"/>
  </w:style>
  <w:style w:type="table" w:styleId="TableGrid">
    <w:name w:val="Table Grid"/>
    <w:basedOn w:val="TableNormal"/>
    <w:uiPriority w:val="39"/>
    <w:rsid w:val="0070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E53E9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0A163F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0A163F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0A163F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0A163F"/>
    <w:rPr>
      <w:rFonts w:ascii="Century" w:hAnsi="Century"/>
      <w:noProof/>
      <w:sz w:val="20"/>
    </w:rPr>
  </w:style>
  <w:style w:type="paragraph" w:styleId="ListParagraph">
    <w:name w:val="List Paragraph"/>
    <w:basedOn w:val="Normal"/>
    <w:uiPriority w:val="34"/>
    <w:qFormat/>
    <w:rsid w:val="00BB4E62"/>
    <w:pPr>
      <w:ind w:leftChars="400" w:left="84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129E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29E"/>
    <w:rPr>
      <w:rFonts w:ascii="MS Gothic" w:eastAsia="MS Gothic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Kostelnik, Julie</cp:lastModifiedBy>
  <cp:revision>2</cp:revision>
  <dcterms:created xsi:type="dcterms:W3CDTF">2016-04-14T12:59:00Z</dcterms:created>
  <dcterms:modified xsi:type="dcterms:W3CDTF">2016-04-14T12:59:00Z</dcterms:modified>
</cp:coreProperties>
</file>