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5" w:rsidRPr="00716772" w:rsidRDefault="007C37D5" w:rsidP="007C37D5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16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Material and Methods</w:t>
      </w:r>
    </w:p>
    <w:p w:rsidR="007C37D5" w:rsidRPr="00716772" w:rsidRDefault="007C37D5" w:rsidP="007C37D5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7D5" w:rsidRDefault="007C37D5" w:rsidP="007C37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772">
        <w:rPr>
          <w:rFonts w:ascii="Times New Roman" w:hAnsi="Times New Roman" w:cs="Times New Roman"/>
          <w:b/>
          <w:i/>
          <w:sz w:val="24"/>
          <w:szCs w:val="24"/>
        </w:rPr>
        <w:t xml:space="preserve">In vitro </w:t>
      </w:r>
      <w:r w:rsidRPr="00716772">
        <w:rPr>
          <w:rFonts w:ascii="Times New Roman" w:hAnsi="Times New Roman" w:cs="Times New Roman"/>
          <w:b/>
          <w:sz w:val="24"/>
          <w:szCs w:val="24"/>
        </w:rPr>
        <w:t>transcription (IVT) of RNAs</w:t>
      </w:r>
    </w:p>
    <w:p w:rsidR="007C37D5" w:rsidRPr="00716772" w:rsidRDefault="007C37D5" w:rsidP="007C37D5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16772">
        <w:rPr>
          <w:rFonts w:ascii="Times New Roman" w:hAnsi="Times New Roman" w:cs="Times New Roman"/>
          <w:sz w:val="24"/>
          <w:szCs w:val="24"/>
        </w:rPr>
        <w:t xml:space="preserve">The OVA plasmid used for this study was previously described </w:t>
      </w:r>
      <w:r w:rsidRPr="0071677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PEVuZE5vdGU+PENpdGU+PEF1dGhvcj5TaGltaXp1PC9BdXRob3I+PFllYXI+MjAxMzwvWWVhcj48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PEVuZE5vdGU+PENpdGU+PEF1dGhvcj5TaGltaXp1PC9BdXRob3I+PFllYXI+MjAxMzwvWWVhcj48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16772">
        <w:rPr>
          <w:rFonts w:ascii="Times New Roman" w:hAnsi="Times New Roman" w:cs="Times New Roman"/>
          <w:sz w:val="24"/>
          <w:szCs w:val="24"/>
        </w:rPr>
      </w:r>
      <w:r w:rsidRPr="007167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>
        <w:t>17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16772">
        <w:rPr>
          <w:rFonts w:ascii="Times New Roman" w:hAnsi="Times New Roman" w:cs="Times New Roman"/>
          <w:sz w:val="24"/>
          <w:szCs w:val="24"/>
        </w:rPr>
        <w:fldChar w:fldCharType="end"/>
      </w:r>
      <w:r w:rsidRPr="00716772">
        <w:rPr>
          <w:rFonts w:ascii="Times New Roman" w:hAnsi="Times New Roman" w:cs="Times New Roman"/>
          <w:sz w:val="24"/>
          <w:szCs w:val="24"/>
        </w:rPr>
        <w:t>.</w:t>
      </w:r>
      <w:r w:rsidRPr="007167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6772">
        <w:rPr>
          <w:rFonts w:ascii="Times New Roman" w:hAnsi="Times New Roman" w:cs="Times New Roman"/>
          <w:sz w:val="24"/>
          <w:szCs w:val="24"/>
        </w:rPr>
        <w:t xml:space="preserve">The coding region for human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dopachrome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tautomerase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(TRP2) was amplified by polymerase chain reaction (PCR) using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)-primed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</w:t>
      </w:r>
      <w:r w:rsidRPr="00843CA3">
        <w:rPr>
          <w:rFonts w:ascii="Times New Roman" w:hAnsi="Times New Roman" w:cs="Times New Roman"/>
          <w:sz w:val="24"/>
          <w:szCs w:val="24"/>
        </w:rPr>
        <w:t xml:space="preserve">from </w:t>
      </w:r>
      <w:r w:rsidRPr="00843CA3">
        <w:rPr>
          <w:rFonts w:ascii="Times New Roman" w:hAnsi="Times New Roman" w:cs="Times New Roman"/>
          <w:color w:val="000000" w:themeColor="text1"/>
          <w:sz w:val="24"/>
          <w:szCs w:val="24"/>
        </w:rPr>
        <w:t>human melanoma cell line, 624 MEL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</w:t>
      </w:r>
      <w:r w:rsidRPr="0084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(kindly provided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S.A. Rosenberg (NIH, Bethesda, MD) </w:t>
      </w:r>
      <w:r w:rsidRPr="00716772">
        <w:rPr>
          <w:rFonts w:ascii="Times New Roman" w:hAnsi="Times New Roman" w:cs="Times New Roman"/>
          <w:sz w:val="24"/>
          <w:szCs w:val="24"/>
        </w:rPr>
        <w:t>RNA as template and primers as follows: 5’-ATAGGGAGACAAGCTTCCACC</w:t>
      </w:r>
      <w:r w:rsidRPr="00716772">
        <w:rPr>
          <w:rFonts w:ascii="Times New Roman" w:hAnsi="Times New Roman" w:cs="Times New Roman"/>
          <w:sz w:val="24"/>
          <w:szCs w:val="24"/>
          <w:u w:val="single"/>
        </w:rPr>
        <w:t>ATG</w:t>
      </w:r>
      <w:r w:rsidRPr="00716772">
        <w:rPr>
          <w:rFonts w:ascii="Times New Roman" w:hAnsi="Times New Roman" w:cs="Times New Roman"/>
          <w:sz w:val="24"/>
          <w:szCs w:val="24"/>
        </w:rPr>
        <w:t>AGCCCCCTTTGGTG-3’ (forward) and 5’-TATAGAATACGAATT</w:t>
      </w:r>
      <w:r w:rsidRPr="00716772">
        <w:rPr>
          <w:rFonts w:ascii="Times New Roman" w:hAnsi="Times New Roman" w:cs="Times New Roman"/>
          <w:sz w:val="24"/>
          <w:szCs w:val="24"/>
          <w:u w:val="single"/>
        </w:rPr>
        <w:t>CTA</w:t>
      </w:r>
      <w:r w:rsidRPr="00716772">
        <w:rPr>
          <w:rFonts w:ascii="Times New Roman" w:hAnsi="Times New Roman" w:cs="Times New Roman"/>
          <w:sz w:val="24"/>
          <w:szCs w:val="24"/>
        </w:rPr>
        <w:t xml:space="preserve">GGCTTCTTCTGTGTATCTCTT-3’ (reverse), in which the start and stop codons are underlined. The resulting 1.6-kb DNA fragments were purified by gel extraction and cloned into the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Hin</w:t>
      </w:r>
      <w:r w:rsidRPr="00716772">
        <w:rPr>
          <w:rFonts w:ascii="Times New Roman" w:hAnsi="Times New Roman" w:cs="Times New Roman"/>
          <w:sz w:val="24"/>
          <w:szCs w:val="24"/>
        </w:rPr>
        <w:t>dIII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Eco</w:t>
      </w:r>
      <w:r w:rsidRPr="0071677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sites of pGEM-4Z vector (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>) by In-Fusion HD Cloning Kit (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Clontech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). By sequence analysis, we confirmed that the cloned sequence coded for TRP2 isoform 1. Before IVT, the TRP2 </w:t>
      </w:r>
      <w:proofErr w:type="gramStart"/>
      <w:r w:rsidRPr="00716772">
        <w:rPr>
          <w:rFonts w:ascii="Times New Roman" w:hAnsi="Times New Roman" w:cs="Times New Roman"/>
          <w:sz w:val="24"/>
          <w:szCs w:val="24"/>
        </w:rPr>
        <w:t>plasmid</w:t>
      </w:r>
      <w:proofErr w:type="gramEnd"/>
      <w:r w:rsidRPr="00716772">
        <w:rPr>
          <w:rFonts w:ascii="Times New Roman" w:hAnsi="Times New Roman" w:cs="Times New Roman"/>
          <w:sz w:val="24"/>
          <w:szCs w:val="24"/>
        </w:rPr>
        <w:t xml:space="preserve"> was linearized with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Eco</w:t>
      </w:r>
      <w:r w:rsidRPr="0071677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and purified by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QIAquick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PCR Purification Kit (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). The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for the longest isoform (isoform D) of human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Wilms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tumor 1 (WT1) was purchased from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OriGene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Technologies, Inc. and was used as template to amplify the coding region by PCR. The primers used were as follows: 5’-CC</w:t>
      </w:r>
      <w:r w:rsidRPr="00716772">
        <w:rPr>
          <w:rFonts w:ascii="Times New Roman" w:hAnsi="Times New Roman" w:cs="Times New Roman"/>
          <w:sz w:val="24"/>
          <w:szCs w:val="24"/>
          <w:u w:val="single"/>
        </w:rPr>
        <w:t>AAGCTT</w:t>
      </w:r>
      <w:r w:rsidRPr="00716772">
        <w:rPr>
          <w:rFonts w:ascii="Times New Roman" w:hAnsi="Times New Roman" w:cs="Times New Roman"/>
          <w:sz w:val="24"/>
          <w:szCs w:val="24"/>
        </w:rPr>
        <w:t>CCACC</w:t>
      </w:r>
      <w:r w:rsidRPr="00716772">
        <w:rPr>
          <w:rFonts w:ascii="Times New Roman" w:hAnsi="Times New Roman" w:cs="Times New Roman"/>
          <w:b/>
          <w:sz w:val="24"/>
          <w:szCs w:val="24"/>
        </w:rPr>
        <w:t>ATG</w:t>
      </w:r>
      <w:r w:rsidRPr="00716772">
        <w:rPr>
          <w:rFonts w:ascii="Times New Roman" w:hAnsi="Times New Roman" w:cs="Times New Roman"/>
          <w:sz w:val="24"/>
          <w:szCs w:val="24"/>
        </w:rPr>
        <w:t xml:space="preserve">CAGGACCCGGCTTCCACG-3’ (forward) and </w:t>
      </w:r>
      <w:r w:rsidRPr="00716772">
        <w:rPr>
          <w:rFonts w:ascii="Times New Roman" w:hAnsi="Times New Roman" w:cs="Times New Roman"/>
          <w:sz w:val="24"/>
          <w:szCs w:val="24"/>
        </w:rPr>
        <w:lastRenderedPageBreak/>
        <w:t>5’-CG</w:t>
      </w:r>
      <w:r w:rsidRPr="00716772">
        <w:rPr>
          <w:rFonts w:ascii="Times New Roman" w:hAnsi="Times New Roman" w:cs="Times New Roman"/>
          <w:sz w:val="24"/>
          <w:szCs w:val="24"/>
          <w:u w:val="single"/>
        </w:rPr>
        <w:t>GAATTC</w:t>
      </w:r>
      <w:r w:rsidRPr="00716772">
        <w:rPr>
          <w:rFonts w:ascii="Times New Roman" w:hAnsi="Times New Roman" w:cs="Times New Roman"/>
          <w:sz w:val="24"/>
          <w:szCs w:val="24"/>
        </w:rPr>
        <w:t xml:space="preserve">TCAAAGCGCCAGCTGGAGTTTGG-3’ (reverse), in which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Hin</w:t>
      </w:r>
      <w:r w:rsidRPr="00716772">
        <w:rPr>
          <w:rFonts w:ascii="Times New Roman" w:hAnsi="Times New Roman" w:cs="Times New Roman"/>
          <w:sz w:val="24"/>
          <w:szCs w:val="24"/>
        </w:rPr>
        <w:t>dIII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Eco</w:t>
      </w:r>
      <w:r w:rsidRPr="0071677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sites are underlined and the CTG-to-ATG substitution is shown in bold. The resulting 1.6-kb DNA fragments were purified by gel extraction and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subcloned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using Zero Blunt TOPO PCR Cloning Kit (Invitrogen). After sequence analysis, the cloned sequence was excised with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Hin</w:t>
      </w:r>
      <w:r w:rsidRPr="00716772">
        <w:rPr>
          <w:rFonts w:ascii="Times New Roman" w:hAnsi="Times New Roman" w:cs="Times New Roman"/>
          <w:sz w:val="24"/>
          <w:szCs w:val="24"/>
        </w:rPr>
        <w:t>dIII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6772">
        <w:rPr>
          <w:rFonts w:ascii="Times New Roman" w:hAnsi="Times New Roman" w:cs="Times New Roman"/>
          <w:i/>
          <w:sz w:val="24"/>
          <w:szCs w:val="24"/>
        </w:rPr>
        <w:t>Eco</w:t>
      </w:r>
      <w:r w:rsidRPr="0071677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and inserted into the pGEM-4Z vector with Ligation high Ver.2 (Toyobo). Before IVT, the WT1 plasmid was linearized and purified as above. IVT was carried out using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mMessage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mMachine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T7 Ultra Kit (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Ambion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) according to manufacturer’s instructions. RNA was purified by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RNeasy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Mini/Midi Kit (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) and the integrity was verified by denaturing </w:t>
      </w:r>
      <w:proofErr w:type="spellStart"/>
      <w:r w:rsidRPr="00716772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Pr="00716772">
        <w:rPr>
          <w:rFonts w:ascii="Times New Roman" w:hAnsi="Times New Roman" w:cs="Times New Roman"/>
          <w:sz w:val="24"/>
          <w:szCs w:val="24"/>
        </w:rPr>
        <w:t xml:space="preserve"> gel electrophoresis.</w:t>
      </w:r>
    </w:p>
    <w:p w:rsidR="007C37D5" w:rsidRDefault="007C37D5" w:rsidP="007C37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37D5" w:rsidRPr="003E294A" w:rsidRDefault="007C37D5" w:rsidP="007C37D5">
      <w:pPr>
        <w:autoSpaceDE w:val="0"/>
        <w:autoSpaceDN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 cell receptor V</w:t>
      </w:r>
      <w:r w:rsidRPr="003E294A">
        <w:rPr>
          <w:rFonts w:ascii="Times New Roman" w:eastAsia="AdvOT8b40f9c2.B+03" w:hAnsi="Times New Roman" w:cs="Times New Roman"/>
          <w:b/>
          <w:color w:val="000000" w:themeColor="text1"/>
          <w:sz w:val="24"/>
          <w:szCs w:val="24"/>
        </w:rPr>
        <w:t xml:space="preserve">β </w:t>
      </w:r>
      <w:r w:rsidRPr="003E2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repertoire assay </w:t>
      </w:r>
    </w:p>
    <w:p w:rsidR="007C37D5" w:rsidRPr="003E294A" w:rsidRDefault="007C37D5" w:rsidP="007C37D5">
      <w:pPr>
        <w:autoSpaceDE w:val="0"/>
        <w:autoSpaceDN w:val="0"/>
        <w:spacing w:line="480" w:lineRule="auto"/>
        <w:ind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For the evaluation of TCR V</w:t>
      </w:r>
      <w:r w:rsidRPr="003E294A">
        <w:rPr>
          <w:rFonts w:ascii="Times New Roman" w:eastAsia="AdvOT8b40f9c2.B+03" w:hAnsi="Times New Roman" w:cs="Times New Roman"/>
          <w:color w:val="000000" w:themeColor="text1"/>
          <w:sz w:val="24"/>
          <w:szCs w:val="24"/>
        </w:rPr>
        <w:t xml:space="preserve">β 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Repertoire, total RNA was extracted from highly sorted OVA-tetramer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CD8</w:t>
      </w:r>
      <w:r w:rsidRPr="003E294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cells and reverse transcribed for synthesis of first-strand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cDNA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a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SMARTer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cDNA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amplification kit (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Clontech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Both universal mix primer and primers specific for the T cell receptor </w:t>
      </w:r>
      <w:r w:rsidRPr="003E294A">
        <w:rPr>
          <w:rFonts w:ascii="Times New Roman" w:eastAsia="AdvOTd877c31c+03" w:hAnsi="Times New Roman" w:cs="Times New Roman"/>
          <w:color w:val="000000" w:themeColor="text1"/>
          <w:sz w:val="24"/>
          <w:szCs w:val="24"/>
        </w:rPr>
        <w:t xml:space="preserve">β 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(TCR</w:t>
      </w:r>
      <w:r w:rsidRPr="003E294A">
        <w:rPr>
          <w:rFonts w:ascii="Times New Roman" w:eastAsia="AdvOTd877c31c+03" w:hAnsi="Times New Roman" w:cs="Times New Roman"/>
          <w:color w:val="000000" w:themeColor="text1"/>
          <w:sz w:val="24"/>
          <w:szCs w:val="24"/>
        </w:rPr>
        <w:t>β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) constant region sequence were used for second-strand amplifications, resulting in TCR</w:t>
      </w:r>
      <w:r w:rsidRPr="003E294A">
        <w:rPr>
          <w:rFonts w:ascii="Times New Roman" w:eastAsia="AdvOTd877c31c+03" w:hAnsi="Times New Roman" w:cs="Times New Roman"/>
          <w:color w:val="000000" w:themeColor="text1"/>
          <w:sz w:val="24"/>
          <w:szCs w:val="24"/>
        </w:rPr>
        <w:t xml:space="preserve">β 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PCR products of high purity which were then submitted for high-throughput DNA sequencing using an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Illumina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Miseq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sequencing system. All reads of the TCRα and the TCR</w:t>
      </w:r>
      <w:r w:rsidRPr="003E294A">
        <w:rPr>
          <w:rFonts w:ascii="Times New Roman" w:eastAsia="AdvOTd877c31c+03" w:hAnsi="Times New Roman" w:cs="Times New Roman"/>
          <w:color w:val="000000" w:themeColor="text1"/>
          <w:sz w:val="24"/>
          <w:szCs w:val="24"/>
        </w:rPr>
        <w:t xml:space="preserve">β </w:t>
      </w:r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repertoire sequence were analyzed using Python and Perl scripts based on the USEARCH algorithm (</w:t>
      </w:r>
      <w:hyperlink r:id="rId5" w:history="1">
        <w:r w:rsidRPr="003E29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http://drive5.com/</w:t>
        </w:r>
      </w:hyperlink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usearch/). V-region consensus sequences in each cluster were searched on the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>ImMunoGeneTics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(IMGT) sites (www.imgt.org/IMGT_vquest/share/textes/).</w:t>
      </w:r>
    </w:p>
    <w:p w:rsidR="007C37D5" w:rsidRPr="003E294A" w:rsidRDefault="007C37D5" w:rsidP="007C37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37D5" w:rsidRDefault="007C37D5" w:rsidP="007C37D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37D5" w:rsidRPr="00716772" w:rsidRDefault="007C37D5" w:rsidP="007C37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4B7" w:rsidRPr="007C37D5" w:rsidRDefault="00D414B7"/>
    <w:sectPr w:rsidR="00D414B7" w:rsidRPr="007C3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b40f9c2.B+0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d877c31c+0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D5"/>
    <w:rsid w:val="0049010B"/>
    <w:rsid w:val="007C37D5"/>
    <w:rsid w:val="00D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C3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C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ive5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Kostelnik, Julie</cp:lastModifiedBy>
  <cp:revision>2</cp:revision>
  <dcterms:created xsi:type="dcterms:W3CDTF">2016-04-14T12:59:00Z</dcterms:created>
  <dcterms:modified xsi:type="dcterms:W3CDTF">2016-04-14T12:59:00Z</dcterms:modified>
</cp:coreProperties>
</file>