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B" w:rsidRDefault="00F0213B" w:rsidP="00F0213B">
      <w:pPr>
        <w:pStyle w:val="Paragraph"/>
        <w:spacing w:before="0" w:line="480" w:lineRule="auto"/>
        <w:ind w:firstLine="0"/>
      </w:pPr>
      <w:proofErr w:type="gramStart"/>
      <w:r w:rsidRPr="002024D8">
        <w:rPr>
          <w:b/>
        </w:rPr>
        <w:t>Supplemental Figure 1.</w:t>
      </w:r>
      <w:proofErr w:type="gramEnd"/>
      <w:r w:rsidRPr="002024D8">
        <w:rPr>
          <w:b/>
        </w:rPr>
        <w:t xml:space="preserve"> </w:t>
      </w:r>
      <w:r>
        <w:rPr>
          <w:b/>
          <w:i/>
        </w:rPr>
        <w:t xml:space="preserve">Combined treatment with </w:t>
      </w:r>
      <w:r w:rsidRPr="002024D8">
        <w:rPr>
          <w:b/>
          <w:i/>
        </w:rPr>
        <w:t>radiation and tumor-specific mAb</w:t>
      </w:r>
      <w:r>
        <w:rPr>
          <w:b/>
          <w:i/>
        </w:rPr>
        <w:t xml:space="preserve"> or IC does not impact mouse weight</w:t>
      </w:r>
      <w:r w:rsidRPr="002024D8">
        <w:rPr>
          <w:b/>
          <w:i/>
        </w:rPr>
        <w:t xml:space="preserve">. </w:t>
      </w:r>
      <w:r w:rsidRPr="002024D8">
        <w:t xml:space="preserve">Treatment with hu14.18K322A and radiation in </w:t>
      </w:r>
      <w:r>
        <w:rPr>
          <w:b/>
        </w:rPr>
        <w:t>A</w:t>
      </w:r>
      <w:r w:rsidRPr="002024D8">
        <w:rPr>
          <w:b/>
        </w:rPr>
        <w:t>)</w:t>
      </w:r>
      <w:r w:rsidRPr="002024D8">
        <w:t xml:space="preserve"> B78 melanoma-bearing C57B</w:t>
      </w:r>
      <w:r>
        <w:t>L</w:t>
      </w:r>
      <w:r w:rsidRPr="002024D8">
        <w:t xml:space="preserve">/6 mice or </w:t>
      </w:r>
      <w:r>
        <w:rPr>
          <w:b/>
        </w:rPr>
        <w:t>B</w:t>
      </w:r>
      <w:r w:rsidRPr="002024D8">
        <w:rPr>
          <w:b/>
        </w:rPr>
        <w:t>)</w:t>
      </w:r>
      <w:r w:rsidRPr="002024D8">
        <w:t xml:space="preserve"> NXS2 neuroblastoma-bearing A/J mice d</w:t>
      </w:r>
      <w:r>
        <w:t xml:space="preserve">id </w:t>
      </w:r>
      <w:r w:rsidRPr="002024D8">
        <w:t>not cause weight changes to suggest additional toxicity compared to animals receiving sham radiation and control IgG (</w:t>
      </w:r>
      <w:r w:rsidRPr="002024D8">
        <w:rPr>
          <w:i/>
        </w:rPr>
        <w:t>p</w:t>
      </w:r>
      <w:r>
        <w:rPr>
          <w:i/>
        </w:rPr>
        <w:t xml:space="preserve"> </w:t>
      </w:r>
      <w:r w:rsidRPr="002024D8">
        <w:t>= 0.907, C57B</w:t>
      </w:r>
      <w:r>
        <w:t>L</w:t>
      </w:r>
      <w:r w:rsidRPr="002024D8">
        <w:t xml:space="preserve">/6 mice; </w:t>
      </w:r>
      <w:r w:rsidRPr="002024D8">
        <w:rPr>
          <w:i/>
        </w:rPr>
        <w:t>p</w:t>
      </w:r>
      <w:r w:rsidRPr="002024D8">
        <w:t xml:space="preserve"> = 0.633, AJ mice)</w:t>
      </w:r>
      <w:r>
        <w:t xml:space="preserve">. </w:t>
      </w:r>
      <w:r>
        <w:rPr>
          <w:b/>
        </w:rPr>
        <w:t>C</w:t>
      </w:r>
      <w:r w:rsidRPr="002024D8">
        <w:rPr>
          <w:b/>
        </w:rPr>
        <w:t>)</w:t>
      </w:r>
      <w:r w:rsidRPr="002024D8">
        <w:t xml:space="preserve"> Treatment of B78 tumors with hu14.18-IL2 and radiation does not significantly impact animal weight (</w:t>
      </w:r>
      <w:r w:rsidRPr="002024D8">
        <w:rPr>
          <w:i/>
        </w:rPr>
        <w:t>p</w:t>
      </w:r>
      <w:r w:rsidRPr="002024D8">
        <w:t xml:space="preserve"> = 0.290) compared to control IgG.</w:t>
      </w:r>
      <w:r>
        <w:t xml:space="preserve"> </w:t>
      </w:r>
    </w:p>
    <w:p w:rsidR="00F0213B" w:rsidRDefault="00F0213B" w:rsidP="00F0213B">
      <w:pPr>
        <w:pStyle w:val="Paragraph"/>
        <w:spacing w:before="0" w:line="480" w:lineRule="auto"/>
        <w:ind w:firstLine="0"/>
        <w:rPr>
          <w:b/>
        </w:rPr>
      </w:pPr>
    </w:p>
    <w:p w:rsidR="00F0213B" w:rsidRPr="002024D8" w:rsidRDefault="00F0213B" w:rsidP="00F0213B">
      <w:pPr>
        <w:pStyle w:val="Paragraph"/>
        <w:spacing w:before="0" w:line="480" w:lineRule="auto"/>
        <w:ind w:firstLine="0"/>
      </w:pPr>
      <w:proofErr w:type="gramStart"/>
      <w:r>
        <w:rPr>
          <w:b/>
        </w:rPr>
        <w:t>Supplemental Figure 2.</w:t>
      </w:r>
      <w:proofErr w:type="gramEnd"/>
      <w:r>
        <w:t xml:space="preserve"> </w:t>
      </w:r>
      <w:r w:rsidRPr="00E96F71">
        <w:rPr>
          <w:b/>
          <w:i/>
        </w:rPr>
        <w:t xml:space="preserve">Following radiation, IT </w:t>
      </w:r>
      <w:r>
        <w:rPr>
          <w:b/>
          <w:i/>
        </w:rPr>
        <w:t>injection</w:t>
      </w:r>
      <w:r w:rsidRPr="00E96F71">
        <w:rPr>
          <w:b/>
          <w:i/>
        </w:rPr>
        <w:t xml:space="preserve"> of hu14.18K322A improves tumor response compared to IV delivery.</w:t>
      </w:r>
      <w:r>
        <w:t xml:space="preserve"> In B78 melanoma-bearing C57BL/6 mice treated with 12 Gy </w:t>
      </w:r>
      <w:proofErr w:type="gramStart"/>
      <w:r>
        <w:t>radiation</w:t>
      </w:r>
      <w:proofErr w:type="gramEnd"/>
      <w:r>
        <w:t>, we observed improved tumor response with IT versus IV administration of hu14.18K322A.</w:t>
      </w:r>
      <w:r w:rsidRPr="005842F1">
        <w:t xml:space="preserve"> </w:t>
      </w:r>
      <w:r w:rsidRPr="00ED2200">
        <w:t xml:space="preserve">* </w:t>
      </w:r>
      <w:r w:rsidRPr="00874E50">
        <w:rPr>
          <w:i/>
        </w:rPr>
        <w:t>p</w:t>
      </w:r>
      <w:r w:rsidRPr="00ED2200">
        <w:t xml:space="preserve"> </w:t>
      </w:r>
      <w:r>
        <w:t xml:space="preserve">= </w:t>
      </w:r>
      <w:r w:rsidRPr="00ED2200">
        <w:t>0.0</w:t>
      </w:r>
      <w:r>
        <w:t>2</w:t>
      </w:r>
      <w:r w:rsidRPr="00ED2200">
        <w:t>.</w:t>
      </w:r>
      <w:r>
        <w:t xml:space="preserve"> </w:t>
      </w:r>
    </w:p>
    <w:p w:rsidR="00F0213B" w:rsidRDefault="00F0213B" w:rsidP="00F0213B">
      <w:pPr>
        <w:spacing w:line="480" w:lineRule="auto"/>
        <w:rPr>
          <w:b/>
          <w:sz w:val="24"/>
          <w:szCs w:val="24"/>
        </w:rPr>
      </w:pPr>
    </w:p>
    <w:p w:rsidR="00F0213B" w:rsidRPr="002024D8" w:rsidRDefault="00F0213B" w:rsidP="00F0213B">
      <w:pPr>
        <w:spacing w:line="480" w:lineRule="auto"/>
        <w:rPr>
          <w:sz w:val="24"/>
          <w:szCs w:val="24"/>
        </w:rPr>
      </w:pPr>
      <w:proofErr w:type="gramStart"/>
      <w:r w:rsidRPr="002024D8">
        <w:rPr>
          <w:b/>
          <w:sz w:val="24"/>
          <w:szCs w:val="24"/>
        </w:rPr>
        <w:t xml:space="preserve">Supplemental Figure </w:t>
      </w:r>
      <w:r>
        <w:rPr>
          <w:b/>
          <w:sz w:val="24"/>
          <w:szCs w:val="24"/>
        </w:rPr>
        <w:t>3</w:t>
      </w:r>
      <w:r w:rsidRPr="002024D8">
        <w:rPr>
          <w:b/>
          <w:sz w:val="24"/>
          <w:szCs w:val="24"/>
        </w:rPr>
        <w:t>.</w:t>
      </w:r>
      <w:proofErr w:type="gramEnd"/>
      <w:r w:rsidRPr="002024D8">
        <w:rPr>
          <w:b/>
          <w:sz w:val="24"/>
          <w:szCs w:val="24"/>
        </w:rPr>
        <w:t xml:space="preserve"> </w:t>
      </w:r>
      <w:r w:rsidRPr="002024D8">
        <w:rPr>
          <w:b/>
          <w:i/>
          <w:sz w:val="24"/>
          <w:szCs w:val="24"/>
        </w:rPr>
        <w:t xml:space="preserve">SCC1-C cells are not sensitized to radiation by cetuximab in vitro and </w:t>
      </w:r>
      <w:r>
        <w:rPr>
          <w:b/>
          <w:i/>
          <w:sz w:val="24"/>
          <w:szCs w:val="24"/>
        </w:rPr>
        <w:t>remain</w:t>
      </w:r>
      <w:r w:rsidRPr="002024D8">
        <w:rPr>
          <w:b/>
          <w:i/>
          <w:sz w:val="24"/>
          <w:szCs w:val="24"/>
        </w:rPr>
        <w:t xml:space="preserve"> susceptible to cetuximab-mediated ADCC.</w:t>
      </w:r>
      <w:r w:rsidRPr="002024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2024D8">
        <w:rPr>
          <w:b/>
          <w:sz w:val="24"/>
          <w:szCs w:val="24"/>
        </w:rPr>
        <w:t>)</w:t>
      </w:r>
      <w:r w:rsidRPr="002024D8">
        <w:rPr>
          <w:sz w:val="24"/>
          <w:szCs w:val="24"/>
        </w:rPr>
        <w:t xml:space="preserve"> </w:t>
      </w:r>
      <w:r w:rsidRPr="002024D8">
        <w:rPr>
          <w:i/>
          <w:sz w:val="24"/>
          <w:szCs w:val="24"/>
        </w:rPr>
        <w:t>In vitro</w:t>
      </w:r>
      <w:r w:rsidRPr="002024D8">
        <w:rPr>
          <w:sz w:val="24"/>
          <w:szCs w:val="24"/>
        </w:rPr>
        <w:t xml:space="preserve"> clonogenic assay</w:t>
      </w:r>
      <w:r>
        <w:rPr>
          <w:sz w:val="24"/>
          <w:szCs w:val="24"/>
        </w:rPr>
        <w:t>s</w:t>
      </w:r>
      <w:r w:rsidRPr="002024D8">
        <w:rPr>
          <w:sz w:val="24"/>
          <w:szCs w:val="24"/>
        </w:rPr>
        <w:t xml:space="preserve"> demonstrate</w:t>
      </w:r>
      <w:r>
        <w:rPr>
          <w:sz w:val="24"/>
          <w:szCs w:val="24"/>
        </w:rPr>
        <w:t>d</w:t>
      </w:r>
      <w:r w:rsidRPr="002024D8">
        <w:rPr>
          <w:sz w:val="24"/>
          <w:szCs w:val="24"/>
        </w:rPr>
        <w:t xml:space="preserve"> no significant effect of cetuximab on the intrinsic sensitivity of SCC1-C cells to radiation (</w:t>
      </w:r>
      <w:r w:rsidRPr="002024D8">
        <w:rPr>
          <w:i/>
          <w:sz w:val="24"/>
          <w:szCs w:val="24"/>
        </w:rPr>
        <w:t>p</w:t>
      </w:r>
      <w:r w:rsidRPr="002024D8">
        <w:rPr>
          <w:sz w:val="24"/>
          <w:szCs w:val="24"/>
        </w:rPr>
        <w:t xml:space="preserve"> = 0.222). </w:t>
      </w:r>
      <w:r>
        <w:rPr>
          <w:b/>
          <w:sz w:val="24"/>
          <w:szCs w:val="24"/>
        </w:rPr>
        <w:t>B</w:t>
      </w:r>
      <w:r w:rsidRPr="002024D8">
        <w:rPr>
          <w:b/>
          <w:sz w:val="24"/>
          <w:szCs w:val="24"/>
        </w:rPr>
        <w:t>)</w:t>
      </w:r>
      <w:r w:rsidRPr="002024D8">
        <w:rPr>
          <w:sz w:val="24"/>
          <w:szCs w:val="24"/>
        </w:rPr>
        <w:t xml:space="preserve"> Despite this lack of radiosensitization and prior demonstration of resistance of SCC1-C cells to </w:t>
      </w:r>
      <w:r w:rsidRPr="002024D8">
        <w:rPr>
          <w:i/>
          <w:sz w:val="24"/>
          <w:szCs w:val="24"/>
        </w:rPr>
        <w:t>in vitro</w:t>
      </w:r>
      <w:r w:rsidRPr="002024D8">
        <w:rPr>
          <w:sz w:val="24"/>
          <w:szCs w:val="24"/>
        </w:rPr>
        <w:t xml:space="preserve"> proliferative inhibition with cetuximab</w:t>
      </w:r>
      <w:r>
        <w:rPr>
          <w:sz w:val="24"/>
          <w:szCs w:val="24"/>
        </w:rPr>
        <w:t xml:space="preserve"> </w:t>
      </w:r>
      <w:r w:rsidRPr="002024D8">
        <w:rPr>
          <w:sz w:val="24"/>
          <w:szCs w:val="24"/>
        </w:rPr>
        <w:fldChar w:fldCharType="begin">
          <w:fldData xml:space="preserve">PEVuZE5vdGU+PENpdGU+PEF1dGhvcj5CZW5hdmVudGU8L0F1dGhvcj48WWVhcj4yMDA5PC9ZZWFy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YXJjaDwvYWJici0xPjwvYWx0LXBlcmlvZGljYWw+PHBhZ2VzPjE1ODUtOTI8L3BhZ2VzPjx2b2x1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</w:fldData>
        </w:fldChar>
      </w:r>
      <w:r>
        <w:rPr>
          <w:sz w:val="24"/>
          <w:szCs w:val="24"/>
        </w:rPr>
        <w:instrText xml:space="preserve"> ADDIN EN.CITE </w:instrText>
      </w:r>
      <w:r>
        <w:rPr>
          <w:sz w:val="24"/>
          <w:szCs w:val="24"/>
        </w:rPr>
        <w:fldChar w:fldCharType="begin">
          <w:fldData xml:space="preserve">PEVuZE5vdGU+PENpdGU+PEF1dGhvcj5CZW5hdmVudGU8L0F1dGhvcj48WWVhcj4yMDA5PC9ZZWFy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YXJjaDwvYWJici0xPjwvYWx0LXBlcmlvZGljYWw+PHBhZ2VzPjE1ODUtOTI8L3BhZ2VzPjx2b2x1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</w:fldData>
        </w:fldChar>
      </w:r>
      <w:r>
        <w:rPr>
          <w:sz w:val="24"/>
          <w:szCs w:val="24"/>
        </w:rPr>
        <w:instrText xml:space="preserve"> ADDIN EN.CITE.DATA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2024D8">
        <w:rPr>
          <w:sz w:val="24"/>
          <w:szCs w:val="24"/>
        </w:rPr>
      </w:r>
      <w:r w:rsidRPr="002024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</w:t>
      </w:r>
      <w:hyperlink w:anchor="_ENREF_19" w:tooltip="Benavente, 2009 #1633" w:history="1">
        <w:r>
          <w:rPr>
            <w:noProof/>
            <w:sz w:val="24"/>
            <w:szCs w:val="24"/>
          </w:rPr>
          <w:t>19</w:t>
        </w:r>
      </w:hyperlink>
      <w:r>
        <w:rPr>
          <w:noProof/>
          <w:sz w:val="24"/>
          <w:szCs w:val="24"/>
        </w:rPr>
        <w:t>)</w:t>
      </w:r>
      <w:r w:rsidRPr="002024D8">
        <w:rPr>
          <w:sz w:val="24"/>
          <w:szCs w:val="24"/>
        </w:rPr>
        <w:fldChar w:fldCharType="end"/>
      </w:r>
      <w:r w:rsidRPr="002024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24D8">
        <w:rPr>
          <w:sz w:val="24"/>
          <w:szCs w:val="24"/>
          <w:vertAlign w:val="superscript"/>
        </w:rPr>
        <w:t>51</w:t>
      </w:r>
      <w:r w:rsidRPr="002024D8">
        <w:rPr>
          <w:sz w:val="24"/>
          <w:szCs w:val="24"/>
        </w:rPr>
        <w:t>chromium cytotoxicity assay</w:t>
      </w:r>
      <w:r>
        <w:rPr>
          <w:sz w:val="24"/>
          <w:szCs w:val="24"/>
        </w:rPr>
        <w:t>s</w:t>
      </w:r>
      <w:r w:rsidRPr="002024D8">
        <w:rPr>
          <w:sz w:val="24"/>
          <w:szCs w:val="24"/>
        </w:rPr>
        <w:t xml:space="preserve"> demonstrate</w:t>
      </w:r>
      <w:r>
        <w:rPr>
          <w:sz w:val="24"/>
          <w:szCs w:val="24"/>
        </w:rPr>
        <w:t>d</w:t>
      </w:r>
      <w:r w:rsidRPr="002024D8">
        <w:rPr>
          <w:sz w:val="24"/>
          <w:szCs w:val="24"/>
        </w:rPr>
        <w:t xml:space="preserve"> that non-radiated SCC1-C cells remain susceptible to cetuximab-mediated ADCC</w:t>
      </w:r>
      <w:r>
        <w:rPr>
          <w:sz w:val="24"/>
          <w:szCs w:val="24"/>
        </w:rPr>
        <w:t xml:space="preserve"> by fresh human peripheral blood mononuclear cells as effector cells</w:t>
      </w:r>
      <w:r w:rsidRPr="002024D8">
        <w:rPr>
          <w:sz w:val="24"/>
          <w:szCs w:val="24"/>
        </w:rPr>
        <w:t>. This is consistent with previously reported data showing persistent expression of EGFR in</w:t>
      </w:r>
      <w:r>
        <w:rPr>
          <w:sz w:val="24"/>
          <w:szCs w:val="24"/>
        </w:rPr>
        <w:t xml:space="preserve"> the</w:t>
      </w:r>
      <w:r w:rsidRPr="005842F1">
        <w:rPr>
          <w:sz w:val="24"/>
          <w:szCs w:val="24"/>
        </w:rPr>
        <w:t xml:space="preserve"> </w:t>
      </w:r>
      <w:r w:rsidRPr="002024D8">
        <w:rPr>
          <w:sz w:val="24"/>
          <w:szCs w:val="24"/>
        </w:rPr>
        <w:t>plasma membrane</w:t>
      </w:r>
      <w:r>
        <w:rPr>
          <w:sz w:val="24"/>
          <w:szCs w:val="24"/>
        </w:rPr>
        <w:t xml:space="preserve"> of these cetuximab-resistant </w:t>
      </w:r>
      <w:r w:rsidRPr="002024D8">
        <w:rPr>
          <w:sz w:val="24"/>
          <w:szCs w:val="24"/>
        </w:rPr>
        <w:t>cells</w:t>
      </w:r>
      <w:r>
        <w:rPr>
          <w:sz w:val="24"/>
          <w:szCs w:val="24"/>
        </w:rPr>
        <w:t xml:space="preserve"> </w:t>
      </w:r>
      <w:r w:rsidRPr="002024D8">
        <w:rPr>
          <w:sz w:val="24"/>
          <w:szCs w:val="24"/>
        </w:rPr>
        <w:fldChar w:fldCharType="begin">
          <w:fldData xml:space="preserve">PEVuZE5vdGU+PENpdGU+PEF1dGhvcj5CZW5hdmVudGU8L0F1dGhvcj48WWVhcj4yMDA5PC9ZZWFy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YXJjaDwvYWJici0xPjwvYWx0LXBlcmlvZGljYWw+PHBhZ2VzPjE1ODUtOTI8L3BhZ2VzPjx2b2x1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</w:fldData>
        </w:fldChar>
      </w:r>
      <w:r>
        <w:rPr>
          <w:sz w:val="24"/>
          <w:szCs w:val="24"/>
        </w:rPr>
        <w:instrText xml:space="preserve"> ADDIN EN.CITE </w:instrText>
      </w:r>
      <w:r>
        <w:rPr>
          <w:sz w:val="24"/>
          <w:szCs w:val="24"/>
        </w:rPr>
        <w:fldChar w:fldCharType="begin">
          <w:fldData xml:space="preserve">PEVuZE5vdGU+PENpdGU+PEF1dGhvcj5CZW5hdmVudGU8L0F1dGhvcj48WWVhcj4yMDA5PC9ZZWFy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YXJjaDwvYWJici0xPjwvYWx0LXBlcmlvZGljYWw+PHBhZ2VzPjE1ODUtOTI8L3BhZ2VzPjx2b2x1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</w:fldData>
        </w:fldChar>
      </w:r>
      <w:r>
        <w:rPr>
          <w:sz w:val="24"/>
          <w:szCs w:val="24"/>
        </w:rPr>
        <w:instrText xml:space="preserve"> ADDIN EN.CITE.DATA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2024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</w:t>
      </w:r>
      <w:hyperlink w:anchor="_ENREF_19" w:tooltip="Benavente, 2009 #1633" w:history="1">
        <w:r>
          <w:rPr>
            <w:noProof/>
            <w:sz w:val="24"/>
            <w:szCs w:val="24"/>
          </w:rPr>
          <w:t>19</w:t>
        </w:r>
      </w:hyperlink>
      <w:r>
        <w:rPr>
          <w:noProof/>
          <w:sz w:val="24"/>
          <w:szCs w:val="24"/>
        </w:rPr>
        <w:t>)</w:t>
      </w:r>
      <w:r w:rsidRPr="002024D8">
        <w:rPr>
          <w:sz w:val="24"/>
          <w:szCs w:val="24"/>
        </w:rPr>
        <w:fldChar w:fldCharType="end"/>
      </w:r>
      <w:r w:rsidRPr="002024D8">
        <w:rPr>
          <w:sz w:val="24"/>
          <w:szCs w:val="24"/>
        </w:rPr>
        <w:t xml:space="preserve">. </w:t>
      </w:r>
    </w:p>
    <w:p w:rsidR="00F0213B" w:rsidRDefault="00F0213B" w:rsidP="00F0213B">
      <w:pPr>
        <w:spacing w:line="480" w:lineRule="auto"/>
        <w:rPr>
          <w:sz w:val="24"/>
          <w:szCs w:val="24"/>
        </w:rPr>
      </w:pPr>
    </w:p>
    <w:p w:rsidR="00F0213B" w:rsidRDefault="00F0213B" w:rsidP="00F0213B">
      <w:pPr>
        <w:pStyle w:val="Paragraph"/>
        <w:spacing w:before="0" w:line="480" w:lineRule="auto"/>
        <w:ind w:firstLine="0"/>
      </w:pPr>
      <w:proofErr w:type="gramStart"/>
      <w:r w:rsidRPr="002024D8">
        <w:rPr>
          <w:b/>
        </w:rPr>
        <w:lastRenderedPageBreak/>
        <w:t xml:space="preserve">Supplemental Figure </w:t>
      </w:r>
      <w:r>
        <w:rPr>
          <w:b/>
        </w:rPr>
        <w:t>4</w:t>
      </w:r>
      <w:r w:rsidRPr="002024D8">
        <w:rPr>
          <w:b/>
        </w:rPr>
        <w:t>.</w:t>
      </w:r>
      <w:proofErr w:type="gramEnd"/>
      <w:r w:rsidRPr="002024D8">
        <w:rPr>
          <w:b/>
        </w:rPr>
        <w:t xml:space="preserve"> </w:t>
      </w:r>
      <w:r w:rsidRPr="00471553">
        <w:rPr>
          <w:b/>
          <w:i/>
        </w:rPr>
        <w:t xml:space="preserve">Hu14.18K322A </w:t>
      </w:r>
      <w:r>
        <w:rPr>
          <w:b/>
          <w:i/>
        </w:rPr>
        <w:t xml:space="preserve">and hu14.18-IL2 </w:t>
      </w:r>
      <w:r w:rsidRPr="004D3F37">
        <w:rPr>
          <w:b/>
          <w:i/>
        </w:rPr>
        <w:t>do</w:t>
      </w:r>
      <w:r w:rsidRPr="00471553">
        <w:rPr>
          <w:b/>
          <w:i/>
        </w:rPr>
        <w:t xml:space="preserve"> not impact intrinsic cell sensitivity to radiation in vitro and r</w:t>
      </w:r>
      <w:r w:rsidRPr="005B4642">
        <w:rPr>
          <w:b/>
          <w:i/>
        </w:rPr>
        <w:t>adiation does not impact GD2 expression but GD2-expression is required for the cooperative in vivo</w:t>
      </w:r>
      <w:r>
        <w:rPr>
          <w:b/>
          <w:i/>
        </w:rPr>
        <w:t xml:space="preserve"> interaction of radiation with hu14.18K322A or hu14.18-IL2. </w:t>
      </w:r>
      <w:r w:rsidRPr="0056297F">
        <w:rPr>
          <w:i/>
        </w:rPr>
        <w:t>In vitro</w:t>
      </w:r>
      <w:r w:rsidRPr="0056297F">
        <w:t xml:space="preserve"> clonogenic assays demonstrate no significant effect of hu14.18K322A on the intrinsic sensitivity of </w:t>
      </w:r>
      <w:r>
        <w:rPr>
          <w:b/>
        </w:rPr>
        <w:t>A</w:t>
      </w:r>
      <w:r w:rsidRPr="0056297F">
        <w:rPr>
          <w:b/>
        </w:rPr>
        <w:t>)</w:t>
      </w:r>
      <w:r w:rsidRPr="0056297F">
        <w:t xml:space="preserve"> B78 (</w:t>
      </w:r>
      <w:r w:rsidRPr="0056297F">
        <w:rPr>
          <w:i/>
        </w:rPr>
        <w:t>p</w:t>
      </w:r>
      <w:r w:rsidRPr="0056297F">
        <w:t xml:space="preserve"> = 0.765) or </w:t>
      </w:r>
      <w:r>
        <w:rPr>
          <w:b/>
        </w:rPr>
        <w:t>B</w:t>
      </w:r>
      <w:r w:rsidRPr="0056297F">
        <w:rPr>
          <w:b/>
        </w:rPr>
        <w:t>)</w:t>
      </w:r>
      <w:r w:rsidRPr="0056297F">
        <w:t xml:space="preserve"> NXS2 cells (</w:t>
      </w:r>
      <w:r w:rsidRPr="0056297F">
        <w:rPr>
          <w:i/>
        </w:rPr>
        <w:t>p</w:t>
      </w:r>
      <w:r w:rsidRPr="0056297F">
        <w:t xml:space="preserve"> = 0.945) to radiation. </w:t>
      </w:r>
      <w:r>
        <w:t xml:space="preserve">For these studies cells were incubated with 1µg/mL mAb for 30 minutes prior to radiation and this concentration was maintained in culture media for the duration of the experiment. </w:t>
      </w:r>
      <w:r w:rsidRPr="0056297F">
        <w:t>Data are displayed as mean percent survival from 6 independent measures +/- standard error.</w:t>
      </w:r>
      <w:r>
        <w:t xml:space="preserve"> </w:t>
      </w:r>
      <w:r w:rsidRPr="002024D8">
        <w:t xml:space="preserve">Flow cytometry performed on </w:t>
      </w:r>
      <w:r>
        <w:t xml:space="preserve">cultured </w:t>
      </w:r>
      <w:r>
        <w:rPr>
          <w:b/>
        </w:rPr>
        <w:t>C</w:t>
      </w:r>
      <w:r w:rsidRPr="002024D8">
        <w:rPr>
          <w:b/>
        </w:rPr>
        <w:t xml:space="preserve">) </w:t>
      </w:r>
      <w:r w:rsidRPr="002024D8">
        <w:t xml:space="preserve">B78 or </w:t>
      </w:r>
      <w:r>
        <w:rPr>
          <w:b/>
        </w:rPr>
        <w:t>D</w:t>
      </w:r>
      <w:r w:rsidRPr="002024D8">
        <w:rPr>
          <w:b/>
        </w:rPr>
        <w:t>)</w:t>
      </w:r>
      <w:r w:rsidRPr="002024D8">
        <w:t xml:space="preserve"> NXS2 cells</w:t>
      </w:r>
      <w:r>
        <w:t xml:space="preserve"> that had been</w:t>
      </w:r>
      <w:r w:rsidRPr="002024D8">
        <w:t xml:space="preserve"> radiated</w:t>
      </w:r>
      <w:r>
        <w:t xml:space="preserve"> </w:t>
      </w:r>
      <w:r w:rsidRPr="00471553">
        <w:rPr>
          <w:i/>
        </w:rPr>
        <w:t>in vitro</w:t>
      </w:r>
      <w:r w:rsidRPr="002024D8">
        <w:t xml:space="preserve"> </w:t>
      </w:r>
      <w:r>
        <w:t>7 days prior with</w:t>
      </w:r>
      <w:r w:rsidRPr="002024D8">
        <w:t xml:space="preserve"> 12</w:t>
      </w:r>
      <w:r>
        <w:t xml:space="preserve"> Gy </w:t>
      </w:r>
      <w:r w:rsidRPr="002024D8">
        <w:t>demonstrated no appreciable change in the</w:t>
      </w:r>
      <w:r>
        <w:t xml:space="preserve"> surface </w:t>
      </w:r>
      <w:r w:rsidRPr="002024D8">
        <w:t>expression of GD</w:t>
      </w:r>
      <w:r>
        <w:t>2</w:t>
      </w:r>
      <w:r w:rsidRPr="002024D8">
        <w:t xml:space="preserve">. Mice bearing macroscopic syngeneic B16 melanoma tumors, which lack GD2 expression, were treated with 12 Gy radiation on day 1 and daily IT injection on days 6-10 of human IgG, hu14.18K322A, or hu14.18-IL2. </w:t>
      </w:r>
      <w:r>
        <w:t>In this tumor model, c</w:t>
      </w:r>
      <w:r w:rsidRPr="002024D8">
        <w:t xml:space="preserve">ompared to control IgG, hu14.18K322A and hu14.18-IL2 did not significantly (NS) impact </w:t>
      </w:r>
      <w:r>
        <w:rPr>
          <w:b/>
        </w:rPr>
        <w:t>E</w:t>
      </w:r>
      <w:r w:rsidRPr="002024D8">
        <w:rPr>
          <w:b/>
        </w:rPr>
        <w:t>)</w:t>
      </w:r>
      <w:r w:rsidRPr="002024D8">
        <w:t xml:space="preserve"> tumor response or </w:t>
      </w:r>
      <w:r>
        <w:rPr>
          <w:b/>
        </w:rPr>
        <w:t>F</w:t>
      </w:r>
      <w:r w:rsidRPr="002024D8">
        <w:rPr>
          <w:b/>
        </w:rPr>
        <w:t>)</w:t>
      </w:r>
      <w:r w:rsidRPr="002024D8">
        <w:t xml:space="preserve"> animal survival. </w:t>
      </w:r>
      <w:r>
        <w:t xml:space="preserve">The number of animals per group (n) is indicated. </w:t>
      </w:r>
      <w:r>
        <w:rPr>
          <w:b/>
        </w:rPr>
        <w:t>G</w:t>
      </w:r>
      <w:r w:rsidRPr="00EB4AA8">
        <w:rPr>
          <w:b/>
        </w:rPr>
        <w:t>)</w:t>
      </w:r>
      <w:r w:rsidRPr="00EB4AA8">
        <w:t xml:space="preserve"> </w:t>
      </w:r>
      <w:r w:rsidRPr="00EB4AA8">
        <w:rPr>
          <w:i/>
        </w:rPr>
        <w:t>In vitro</w:t>
      </w:r>
      <w:r>
        <w:t xml:space="preserve"> clonogenic assays</w:t>
      </w:r>
      <w:r w:rsidRPr="00EB4AA8">
        <w:t xml:space="preserve"> </w:t>
      </w:r>
      <w:r>
        <w:t>demonstrated</w:t>
      </w:r>
      <w:r w:rsidRPr="00EB4AA8">
        <w:t xml:space="preserve"> no significant impact of hu14.18-IL2 on the intrinsic sensitivity of B78 cells to radiation (</w:t>
      </w:r>
      <w:r w:rsidRPr="00EB4AA8">
        <w:rPr>
          <w:i/>
        </w:rPr>
        <w:t xml:space="preserve">p </w:t>
      </w:r>
      <w:r w:rsidRPr="00EB4AA8">
        <w:t>= 0.670).</w:t>
      </w:r>
      <w:r>
        <w:t xml:space="preserve"> Cells were incubated with 1µg/mL IC for 30 minutes prior to radiation and this concentration was maintained in culture media for the duration of the experiment. </w:t>
      </w:r>
      <w:r w:rsidRPr="0056297F">
        <w:t>Data are displayed as mean percent survival from 6 independent measures +/- standard error.</w:t>
      </w:r>
      <w:r>
        <w:t xml:space="preserve"> </w:t>
      </w:r>
    </w:p>
    <w:p w:rsidR="00F0213B" w:rsidRDefault="00F0213B" w:rsidP="00F0213B">
      <w:pPr>
        <w:pStyle w:val="Paragraph"/>
        <w:spacing w:before="0" w:line="480" w:lineRule="auto"/>
        <w:ind w:firstLine="0"/>
      </w:pPr>
    </w:p>
    <w:p w:rsidR="00F0213B" w:rsidRDefault="00F0213B" w:rsidP="00F0213B">
      <w:pPr>
        <w:pStyle w:val="Paragraph"/>
        <w:spacing w:before="0" w:line="480" w:lineRule="auto"/>
        <w:ind w:firstLine="0"/>
      </w:pPr>
      <w:proofErr w:type="gramStart"/>
      <w:r w:rsidRPr="00471553">
        <w:rPr>
          <w:b/>
        </w:rPr>
        <w:t>Supplemental Figure 5.</w:t>
      </w:r>
      <w:proofErr w:type="gramEnd"/>
      <w:r w:rsidRPr="00471553">
        <w:rPr>
          <w:b/>
        </w:rPr>
        <w:t xml:space="preserve"> </w:t>
      </w:r>
      <w:r w:rsidRPr="00471553">
        <w:rPr>
          <w:b/>
          <w:i/>
        </w:rPr>
        <w:t xml:space="preserve">Immunohistochemistry demonstrates impact of radiation and immunocytokine injection on tumor infiltration by NK </w:t>
      </w:r>
      <w:r w:rsidRPr="00955FF3">
        <w:rPr>
          <w:b/>
          <w:i/>
        </w:rPr>
        <w:t>and CD8</w:t>
      </w:r>
      <w:r>
        <w:rPr>
          <w:b/>
          <w:i/>
        </w:rPr>
        <w:t xml:space="preserve"> </w:t>
      </w:r>
      <w:r w:rsidRPr="008B168D">
        <w:rPr>
          <w:b/>
          <w:i/>
        </w:rPr>
        <w:t>and CD4</w:t>
      </w:r>
      <w:r>
        <w:rPr>
          <w:b/>
          <w:i/>
        </w:rPr>
        <w:t>-positive</w:t>
      </w:r>
      <w:r w:rsidRPr="00471553">
        <w:rPr>
          <w:b/>
          <w:i/>
        </w:rPr>
        <w:t xml:space="preserve"> T cells.</w:t>
      </w:r>
      <w:r>
        <w:rPr>
          <w:b/>
        </w:rPr>
        <w:t xml:space="preserve"> </w:t>
      </w:r>
      <w:r w:rsidRPr="00ED2200">
        <w:t xml:space="preserve">Immunohistochemistry was performed on tumors harvested 12 days after radiation for the </w:t>
      </w:r>
      <w:r w:rsidRPr="00471553">
        <w:rPr>
          <w:b/>
        </w:rPr>
        <w:t>A</w:t>
      </w:r>
      <w:r>
        <w:t xml:space="preserve">) </w:t>
      </w:r>
      <w:r w:rsidRPr="00ED2200">
        <w:t>NK cell marker NKG2A/C/E and for the T cell marker</w:t>
      </w:r>
      <w:r>
        <w:t>s</w:t>
      </w:r>
      <w:r w:rsidRPr="00ED2200">
        <w:t xml:space="preserve"> </w:t>
      </w:r>
      <w:r w:rsidRPr="00471553">
        <w:rPr>
          <w:b/>
        </w:rPr>
        <w:t>B</w:t>
      </w:r>
      <w:r>
        <w:t xml:space="preserve">) </w:t>
      </w:r>
      <w:r w:rsidRPr="00ED2200">
        <w:t>CD8</w:t>
      </w:r>
      <w:r>
        <w:t xml:space="preserve"> and </w:t>
      </w:r>
      <w:r w:rsidRPr="00471553">
        <w:rPr>
          <w:b/>
        </w:rPr>
        <w:t>C</w:t>
      </w:r>
      <w:r>
        <w:t>) CD4</w:t>
      </w:r>
      <w:r w:rsidRPr="00ED2200">
        <w:rPr>
          <w:b/>
        </w:rPr>
        <w:t>.</w:t>
      </w:r>
      <w:r w:rsidRPr="00ED2200">
        <w:t xml:space="preserve"> </w:t>
      </w:r>
      <w:r>
        <w:t xml:space="preserve">Representative digital images taken at low (10x) magnification are shown. </w:t>
      </w:r>
      <w:r w:rsidRPr="00ED2200">
        <w:t>Positively stained cells were quantified</w:t>
      </w:r>
      <w:r>
        <w:t xml:space="preserve"> and the results of this are displayed in Figure 4A-C.</w:t>
      </w:r>
    </w:p>
    <w:p w:rsidR="00F0213B" w:rsidRPr="00471553" w:rsidRDefault="00F0213B" w:rsidP="00F0213B">
      <w:pPr>
        <w:pStyle w:val="Paragraph"/>
        <w:spacing w:before="0" w:line="480" w:lineRule="auto"/>
        <w:ind w:firstLine="0"/>
        <w:rPr>
          <w:b/>
        </w:rPr>
      </w:pPr>
    </w:p>
    <w:p w:rsidR="00867040" w:rsidRDefault="00F0213B" w:rsidP="00F0213B">
      <w:pPr>
        <w:pStyle w:val="Paragraph"/>
        <w:spacing w:before="0" w:line="480" w:lineRule="auto"/>
        <w:ind w:firstLine="0"/>
      </w:pPr>
      <w:proofErr w:type="gramStart"/>
      <w:r w:rsidRPr="002024D8">
        <w:rPr>
          <w:b/>
        </w:rPr>
        <w:t xml:space="preserve">Supplemental </w:t>
      </w:r>
      <w:r w:rsidRPr="00D4545D">
        <w:rPr>
          <w:b/>
        </w:rPr>
        <w:t>Figure 6.</w:t>
      </w:r>
      <w:proofErr w:type="gramEnd"/>
      <w:r w:rsidRPr="00D4545D">
        <w:rPr>
          <w:b/>
        </w:rPr>
        <w:t xml:space="preserve"> </w:t>
      </w:r>
      <w:r w:rsidRPr="00471553">
        <w:rPr>
          <w:b/>
          <w:i/>
        </w:rPr>
        <w:t>T</w:t>
      </w:r>
      <w:r w:rsidRPr="00D4545D">
        <w:rPr>
          <w:b/>
          <w:i/>
        </w:rPr>
        <w:t>he time</w:t>
      </w:r>
      <w:r>
        <w:rPr>
          <w:b/>
          <w:i/>
        </w:rPr>
        <w:t>-</w:t>
      </w:r>
      <w:r w:rsidRPr="00D4545D">
        <w:rPr>
          <w:b/>
          <w:i/>
        </w:rPr>
        <w:t xml:space="preserve">sensitivity of </w:t>
      </w:r>
      <w:r>
        <w:rPr>
          <w:b/>
          <w:i/>
        </w:rPr>
        <w:t>combined radiation and hu14.18-IL2 is not observed with radiation and hu14.18K322A and radiation induces a dose-dependent increase in Fas/CD95 expression.</w:t>
      </w:r>
      <w:r w:rsidRPr="002024D8">
        <w:rPr>
          <w:b/>
          <w:i/>
        </w:rPr>
        <w:t xml:space="preserve"> </w:t>
      </w:r>
      <w:r>
        <w:rPr>
          <w:b/>
        </w:rPr>
        <w:t>A</w:t>
      </w:r>
      <w:r w:rsidRPr="00E83A1C">
        <w:rPr>
          <w:b/>
        </w:rPr>
        <w:t>)</w:t>
      </w:r>
      <w:r>
        <w:t xml:space="preserve"> Hu14.18K322A</w:t>
      </w:r>
      <w:r w:rsidRPr="00ED2200">
        <w:t xml:space="preserve"> administration on days 6-10 is </w:t>
      </w:r>
      <w:r>
        <w:t xml:space="preserve">no </w:t>
      </w:r>
      <w:r w:rsidRPr="00ED2200">
        <w:t xml:space="preserve">more effective than administration on days 1-5 </w:t>
      </w:r>
      <w:r>
        <w:t xml:space="preserve">following radiation, in contrast to observations with combined radiation and hu14.18-IL2 (Figure 6A). ** </w:t>
      </w:r>
      <w:proofErr w:type="gramStart"/>
      <w:r w:rsidRPr="00BF2A32">
        <w:rPr>
          <w:i/>
        </w:rPr>
        <w:t>p</w:t>
      </w:r>
      <w:proofErr w:type="gramEnd"/>
      <w:r w:rsidRPr="00ED2200">
        <w:t xml:space="preserve"> &lt; 0.01, NS = non-significant (</w:t>
      </w:r>
      <w:r w:rsidRPr="00BF2A32">
        <w:rPr>
          <w:i/>
        </w:rPr>
        <w:t>p</w:t>
      </w:r>
      <w:r w:rsidRPr="00ED2200">
        <w:t xml:space="preserve"> ≥ 0.05)</w:t>
      </w:r>
      <w:r>
        <w:t xml:space="preserve">. </w:t>
      </w:r>
      <w:r>
        <w:rPr>
          <w:b/>
        </w:rPr>
        <w:t>B</w:t>
      </w:r>
      <w:r>
        <w:t>) P</w:t>
      </w:r>
      <w:r w:rsidRPr="00ED2200">
        <w:t xml:space="preserve">lasma membrane expression of Fas/CD95 </w:t>
      </w:r>
      <w:r>
        <w:t xml:space="preserve">increases following </w:t>
      </w:r>
      <w:r w:rsidRPr="00471553">
        <w:rPr>
          <w:i/>
        </w:rPr>
        <w:t>in vitro</w:t>
      </w:r>
      <w:r>
        <w:t xml:space="preserve"> radiation of cultured B78 </w:t>
      </w:r>
      <w:r w:rsidRPr="00ED2200">
        <w:t>cells</w:t>
      </w:r>
      <w:r>
        <w:t xml:space="preserve"> in a dose-dependent manner. A fitted polynomial curve (dashed line) suggests a sigmoidal dose response curve. All cells were radiated 7 days prior to flow cytometry in this assay. Time appears to be a critical factor in the induction of Fas/CD95 expression (Figure 6C) whereas </w:t>
      </w:r>
      <w:r>
        <w:rPr>
          <w:b/>
        </w:rPr>
        <w:t>C</w:t>
      </w:r>
      <w:r>
        <w:t xml:space="preserve">) dose fractionation did not have a marked impact. Fractionated radiation was delivered once daily and initiated seven days prior to flow cytometry (day -7). For </w:t>
      </w:r>
      <w:r>
        <w:rPr>
          <w:b/>
        </w:rPr>
        <w:t>B</w:t>
      </w:r>
      <w:r>
        <w:t xml:space="preserve">) and </w:t>
      </w:r>
      <w:r>
        <w:rPr>
          <w:b/>
        </w:rPr>
        <w:t>C</w:t>
      </w:r>
      <w:r>
        <w:t>) results of triplicate experiments are displayed as means +/- standard error.</w:t>
      </w:r>
      <w:bookmarkStart w:id="0" w:name="_GoBack"/>
      <w:bookmarkEnd w:id="0"/>
    </w:p>
    <w:sectPr w:rsidR="00867040" w:rsidSect="004A10BE">
      <w:footerReference w:type="default" r:id="rId5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69" w:rsidRDefault="00F02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24969" w:rsidRDefault="00F021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B"/>
    <w:rsid w:val="00564422"/>
    <w:rsid w:val="00903653"/>
    <w:rsid w:val="00A86E32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A86E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E32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E32"/>
    <w:rPr>
      <w:sz w:val="20"/>
      <w:szCs w:val="20"/>
    </w:rPr>
  </w:style>
  <w:style w:type="paragraph" w:customStyle="1" w:styleId="Paragraph">
    <w:name w:val="Paragraph"/>
    <w:basedOn w:val="Normal"/>
    <w:rsid w:val="00F0213B"/>
    <w:pPr>
      <w:spacing w:before="120"/>
      <w:ind w:firstLine="72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213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21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A86E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E32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E32"/>
    <w:rPr>
      <w:sz w:val="20"/>
      <w:szCs w:val="20"/>
    </w:rPr>
  </w:style>
  <w:style w:type="paragraph" w:customStyle="1" w:styleId="Paragraph">
    <w:name w:val="Paragraph"/>
    <w:basedOn w:val="Normal"/>
    <w:rsid w:val="00F0213B"/>
    <w:pPr>
      <w:spacing w:before="120"/>
      <w:ind w:firstLine="72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213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21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and Camie</dc:creator>
  <cp:lastModifiedBy>Zach and Camie</cp:lastModifiedBy>
  <cp:revision>1</cp:revision>
  <dcterms:created xsi:type="dcterms:W3CDTF">2016-01-05T05:51:00Z</dcterms:created>
  <dcterms:modified xsi:type="dcterms:W3CDTF">2016-01-05T05:51:00Z</dcterms:modified>
</cp:coreProperties>
</file>