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EF560" w14:textId="77777777" w:rsidR="00B47483" w:rsidRDefault="00B47483" w:rsidP="00B47483">
      <w:pPr>
        <w:spacing w:line="480" w:lineRule="auto"/>
        <w:rPr>
          <w:rFonts w:ascii="Arial" w:eastAsia="Arial" w:hAnsi="Arial" w:cs="Arial"/>
          <w:b/>
          <w:bCs/>
          <w:sz w:val="22"/>
          <w:szCs w:val="22"/>
        </w:rPr>
      </w:pPr>
      <w:r>
        <w:rPr>
          <w:rFonts w:ascii="Arial"/>
          <w:b/>
          <w:bCs/>
          <w:sz w:val="22"/>
          <w:szCs w:val="22"/>
        </w:rPr>
        <w:t>SUPPLEMENTARY FIGURE LEGENDS</w:t>
      </w:r>
    </w:p>
    <w:p w14:paraId="03183387" w14:textId="77777777" w:rsidR="00B47483" w:rsidRDefault="00B47483" w:rsidP="00B47483">
      <w:pPr>
        <w:spacing w:line="480" w:lineRule="auto"/>
        <w:rPr>
          <w:rFonts w:ascii="Arial"/>
          <w:b/>
          <w:bCs/>
          <w:sz w:val="22"/>
          <w:szCs w:val="22"/>
        </w:rPr>
      </w:pPr>
    </w:p>
    <w:p w14:paraId="527D78BD" w14:textId="77777777" w:rsidR="00BB38EF" w:rsidRPr="00BB38EF" w:rsidRDefault="00B47483" w:rsidP="00B47483">
      <w:pPr>
        <w:spacing w:line="480" w:lineRule="auto"/>
        <w:rPr>
          <w:rFonts w:ascii="Arial"/>
          <w:b/>
          <w:bCs/>
          <w:sz w:val="22"/>
          <w:szCs w:val="22"/>
        </w:rPr>
      </w:pPr>
      <w:r>
        <w:rPr>
          <w:rFonts w:ascii="Arial"/>
          <w:b/>
          <w:bCs/>
          <w:sz w:val="22"/>
          <w:szCs w:val="22"/>
        </w:rPr>
        <w:t>Supplementary Figure S1: Comparison of different methods previously used to test the CD271-based cancer stem cell model in human melanoma.</w:t>
      </w:r>
    </w:p>
    <w:p w14:paraId="328DDB6E" w14:textId="77777777" w:rsidR="00B47483" w:rsidRDefault="00B47483" w:rsidP="00B47483">
      <w:pPr>
        <w:spacing w:line="480" w:lineRule="auto"/>
        <w:rPr>
          <w:rFonts w:ascii="Arial" w:eastAsia="Arial" w:hAnsi="Arial" w:cs="Arial"/>
          <w:sz w:val="22"/>
          <w:szCs w:val="22"/>
        </w:rPr>
      </w:pPr>
    </w:p>
    <w:p w14:paraId="0727E39B" w14:textId="77777777" w:rsidR="00BB38EF" w:rsidRPr="00BB38EF" w:rsidRDefault="00B47483" w:rsidP="00B47483">
      <w:pPr>
        <w:spacing w:line="480" w:lineRule="auto"/>
        <w:rPr>
          <w:rFonts w:ascii="Arial"/>
          <w:b/>
          <w:bCs/>
          <w:sz w:val="22"/>
          <w:szCs w:val="22"/>
        </w:rPr>
      </w:pPr>
      <w:r>
        <w:rPr>
          <w:rFonts w:ascii="Arial"/>
          <w:b/>
          <w:bCs/>
          <w:sz w:val="22"/>
          <w:szCs w:val="22"/>
        </w:rPr>
        <w:t>Supplementary Figure S2: Clinico-pathological characteristics of patients who donated melanomas.</w:t>
      </w:r>
    </w:p>
    <w:p w14:paraId="20536037" w14:textId="77777777" w:rsidR="00B47483" w:rsidRDefault="00B47483" w:rsidP="00B47483">
      <w:pPr>
        <w:spacing w:line="480" w:lineRule="auto"/>
        <w:rPr>
          <w:rFonts w:ascii="Arial" w:eastAsia="Arial" w:hAnsi="Arial" w:cs="Arial"/>
          <w:sz w:val="22"/>
          <w:szCs w:val="22"/>
        </w:rPr>
      </w:pPr>
    </w:p>
    <w:p w14:paraId="399EEC95" w14:textId="77777777" w:rsidR="00B47483" w:rsidRDefault="00B47483" w:rsidP="00B47483">
      <w:pPr>
        <w:spacing w:line="480" w:lineRule="auto"/>
        <w:rPr>
          <w:rFonts w:ascii="Arial"/>
          <w:sz w:val="22"/>
          <w:szCs w:val="22"/>
        </w:rPr>
      </w:pPr>
      <w:r>
        <w:rPr>
          <w:rFonts w:ascii="Arial"/>
          <w:b/>
          <w:bCs/>
          <w:sz w:val="22"/>
          <w:szCs w:val="22"/>
        </w:rPr>
        <w:t xml:space="preserve">Supplementary Figure S3: Typical sorting strategy used to isolate viable melanoma cells from cell suspensions derived by dissociation from patient tumors. </w:t>
      </w:r>
      <w:r>
        <w:rPr>
          <w:rFonts w:ascii="Arial"/>
          <w:sz w:val="22"/>
          <w:szCs w:val="22"/>
        </w:rPr>
        <w:t>After tumor dissociation (see Methods), cells were labelled with antibodies against human-HLA (for detecting human cells), CD45 (for detecting leucocytes), CD31 (for detecting endothelial cells), CD235a (glycophorin A; for detecting immature red blood cells) and 4',6-diamidino-2-phenylindole (DAPI; for detecting non-viable cells). To identify melanoma cells, a cell morphology gate was first applied, based on side-scatter area (SSC-A) and forward-scatter area (FSC-A) characteristics. Next, single cells were selected within the morphology gate by gating on side-scatter width (SSC-W) vs side-scatter height (SSC-H) and forward-scatter width (FSC-W) vs forward-scatter height (FSC-H), characteristics. Viable cells were then gated by virtue of DAPI exclusion, which is often only partial in melanoma cells compared to hematopoietic cells (gate on middle left dot plot includes events with low DAPI signal and excludes DAPI</w:t>
      </w:r>
      <w:r>
        <w:rPr>
          <w:rFonts w:ascii="Arial"/>
          <w:sz w:val="22"/>
          <w:szCs w:val="22"/>
          <w:vertAlign w:val="superscript"/>
        </w:rPr>
        <w:t>hi</w:t>
      </w:r>
      <w:r>
        <w:rPr>
          <w:rFonts w:ascii="Arial"/>
          <w:sz w:val="22"/>
          <w:szCs w:val="22"/>
        </w:rPr>
        <w:t xml:space="preserve"> cells, which are non-viable, and DAPI- cells, which are mostly hematopoietic in origin (not shown)). In the lower plot, gated viable cells show heterogeneous expression for HLA and lineage (Lin; CD45/CD31/CD235a) markers. Melanoma cells were highly enriched (&gt;95%</w:t>
      </w:r>
      <w:r>
        <w:rPr>
          <w:rFonts w:ascii="Arial" w:eastAsia="Arial" w:hAnsi="Arial" w:cs="Arial"/>
          <w:sz w:val="22"/>
          <w:szCs w:val="22"/>
        </w:rPr>
        <w:t xml:space="preserve"> </w:t>
      </w:r>
      <w:r>
        <w:rPr>
          <w:rFonts w:ascii="Arial" w:eastAsia="Arial" w:hAnsi="Arial" w:cs="Arial"/>
          <w:sz w:val="22"/>
          <w:szCs w:val="22"/>
        </w:rPr>
        <w:fldChar w:fldCharType="begin"/>
      </w:r>
      <w:r>
        <w:rPr>
          <w:rFonts w:ascii="Arial" w:eastAsia="Arial" w:hAnsi="Arial" w:cs="Arial"/>
          <w:sz w:val="22"/>
          <w:szCs w:val="22"/>
        </w:rPr>
        <w:instrText xml:space="preserve"> ADDIN EN.CITE &lt;EndNote&gt;&lt;Cite&gt;&lt;Author&gt;Quintana&lt;/Author&gt;&lt;Year&gt;2008&lt;/Year&gt;&lt;RecNum&gt;4950&lt;/RecNum&gt;&lt;DisplayText&gt;(9)&lt;/DisplayText&gt;&lt;record&gt;&lt;rec-number&gt;4950&lt;/rec-number&gt;&lt;foreign-keys&gt;&lt;key app="EN" db-id="ddzww0avrrwa9deaadxv2ttdv9xa55tztezd" timestamp="0"&gt;4950&lt;/key&gt;&lt;/foreign-keys&gt;&lt;ref-type name="Journal Article"&gt;17&lt;/ref-type&gt;&lt;contributors&gt;&lt;authors&gt;&lt;author&gt;Quintana, E.&lt;/author&gt;&lt;author&gt;Shackleton, M.&lt;/author&gt;&lt;author&gt;Sabel, M. S.&lt;/author&gt;&lt;author&gt;Fullen, D. R.&lt;/author&gt;&lt;author&gt;Johnson, T. M.&lt;/author&gt;&lt;author&gt;Morrison, S. J.&lt;/author&gt;&lt;/authors&gt;&lt;/contributors&gt;&lt;auth-address&gt;Howard Hughes Medical Institute, Life Sciences Institute, Department of Internal Medicine, and Center for Stem Cell Biology, University of Michigan, Ann Arbor, Michigan 48109-2216, USA.&lt;/auth-address&gt;&lt;titles&gt;&lt;title&gt;Efficient tumour formation by single human melanoma cells&lt;/title&gt;&lt;secondary-title&gt;Nature&lt;/secondary-title&gt;&lt;alt-title&gt;Nature&lt;/alt-title&gt;&lt;/titles&gt;&lt;periodical&gt;&lt;full-title&gt;Nature&lt;/full-title&gt;&lt;/periodical&gt;&lt;alt-periodical&gt;&lt;full-title&gt;Nature&lt;/full-title&gt;&lt;/alt-periodical&gt;&lt;pages&gt;593-8&lt;/pages&gt;&lt;volume&gt;456&lt;/volume&gt;&lt;number&gt;7222&lt;/number&gt;&lt;dates&gt;&lt;year&gt;2008&lt;/year&gt;&lt;pub-dates&gt;&lt;date&gt;Dec 4&lt;/date&gt;&lt;/pub-dates&gt;&lt;/dates&gt;&lt;isbn&gt;1476-4687 (Electronic)&lt;/isbn&gt;&lt;accession-num&gt;19052619&lt;/accession-num&gt;&lt;urls&gt;&lt;related-urls&gt;&lt;url&gt;http://www.ncbi.nlm.nih.gov/entrez/query.fcgi?cmd=Retrieve&amp;amp;db=PubMed&amp;amp;dopt=Citation&amp;amp;list_uids=19052619 &lt;/url&gt;&lt;/related-urls&gt;&lt;/urls&gt;&lt;language&gt;eng&lt;/language&gt;&lt;/record&gt;&lt;/Cite&gt;&lt;/EndNote&gt;</w:instrText>
      </w:r>
      <w:r>
        <w:rPr>
          <w:rFonts w:ascii="Arial" w:eastAsia="Arial" w:hAnsi="Arial" w:cs="Arial"/>
          <w:sz w:val="22"/>
          <w:szCs w:val="22"/>
        </w:rPr>
        <w:fldChar w:fldCharType="separate"/>
      </w:r>
      <w:r>
        <w:rPr>
          <w:rFonts w:ascii="Arial" w:eastAsia="Arial" w:hAnsi="Arial" w:cs="Arial"/>
          <w:noProof/>
          <w:sz w:val="22"/>
          <w:szCs w:val="22"/>
        </w:rPr>
        <w:t>(9)</w:t>
      </w:r>
      <w:r>
        <w:rPr>
          <w:rFonts w:ascii="Arial" w:eastAsia="Arial" w:hAnsi="Arial" w:cs="Arial"/>
          <w:sz w:val="22"/>
          <w:szCs w:val="22"/>
        </w:rPr>
        <w:fldChar w:fldCharType="end"/>
      </w:r>
      <w:r>
        <w:rPr>
          <w:rFonts w:ascii="Arial"/>
          <w:sz w:val="22"/>
          <w:szCs w:val="22"/>
        </w:rPr>
        <w:t>) in the Lin- gate. For sorting human melanoma cells from tumors grown in immunocompromised mice, the same general gating strategy was employed, except that lineage markers were mouse-specific.</w:t>
      </w:r>
    </w:p>
    <w:p w14:paraId="20E6D85D" w14:textId="77777777" w:rsidR="008D60FA" w:rsidRPr="008D60FA" w:rsidRDefault="00B47483" w:rsidP="008D60FA">
      <w:pPr>
        <w:pStyle w:val="NormalWeb"/>
        <w:spacing w:line="480" w:lineRule="auto"/>
        <w:rPr>
          <w:rFonts w:ascii="Arial" w:hAnsi="Arial"/>
          <w:sz w:val="22"/>
          <w:szCs w:val="22"/>
        </w:rPr>
      </w:pPr>
      <w:r w:rsidRPr="008D60FA">
        <w:rPr>
          <w:rFonts w:ascii="Arial" w:hAnsi="Arial" w:cs="Arial"/>
          <w:b/>
          <w:bCs/>
          <w:sz w:val="22"/>
          <w:szCs w:val="22"/>
          <w:lang w:eastAsia="en-AU"/>
        </w:rPr>
        <w:lastRenderedPageBreak/>
        <w:t>Supplementary Figure S</w:t>
      </w:r>
      <w:r w:rsidR="008D60FA" w:rsidRPr="008D60FA">
        <w:rPr>
          <w:rFonts w:ascii="Arial" w:hAnsi="Arial" w:cs="Arial"/>
          <w:b/>
          <w:bCs/>
          <w:sz w:val="22"/>
          <w:szCs w:val="22"/>
          <w:lang w:eastAsia="en-AU"/>
        </w:rPr>
        <w:t xml:space="preserve">4: </w:t>
      </w:r>
      <w:r w:rsidR="008D60FA" w:rsidRPr="008D60FA">
        <w:rPr>
          <w:rFonts w:ascii="Arial" w:hAnsi="Arial"/>
          <w:b/>
          <w:bCs/>
          <w:color w:val="050707"/>
          <w:sz w:val="22"/>
          <w:szCs w:val="22"/>
        </w:rPr>
        <w:t>Melanoma in</w:t>
      </w:r>
      <w:r w:rsidR="008D60FA">
        <w:rPr>
          <w:rFonts w:ascii="Arial" w:hAnsi="Arial"/>
          <w:b/>
          <w:bCs/>
          <w:color w:val="050707"/>
          <w:sz w:val="22"/>
          <w:szCs w:val="22"/>
        </w:rPr>
        <w:t>i</w:t>
      </w:r>
      <w:r w:rsidR="008D60FA" w:rsidRPr="008D60FA">
        <w:rPr>
          <w:rFonts w:ascii="Arial" w:hAnsi="Arial"/>
          <w:b/>
          <w:bCs/>
          <w:color w:val="050707"/>
          <w:sz w:val="22"/>
          <w:szCs w:val="22"/>
        </w:rPr>
        <w:t xml:space="preserve">tiating cell frequency. </w:t>
      </w:r>
      <w:r w:rsidR="008D60FA" w:rsidRPr="008D60FA">
        <w:rPr>
          <w:rFonts w:ascii="Arial" w:hAnsi="Arial"/>
          <w:color w:val="050707"/>
          <w:sz w:val="22"/>
          <w:szCs w:val="22"/>
        </w:rPr>
        <w:t xml:space="preserve">Individual tumorigenesis data (summarized in Figure 3b) from the subcutaneous transplantation into NSG mice of the indicated number of CD271-, CD271+ and Lin- cells dissociated side-by-side, according to published methods (Q, C and B), from seven patient melanomas (12-042, 12-272, 12-316, 12-1036, 12-1254,13-444, 13-1061). Tumorigenic cell frequencies were calculated using limit dilution analysis (15). Lines indicate average values. </w:t>
      </w:r>
    </w:p>
    <w:p w14:paraId="53071F28" w14:textId="77777777" w:rsidR="008D60FA" w:rsidRPr="008D60FA" w:rsidRDefault="008D60FA" w:rsidP="008D60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480" w:lineRule="auto"/>
        <w:rPr>
          <w:rFonts w:ascii="Times" w:eastAsiaTheme="minorHAnsi" w:hAnsi="Times" w:cs="Times"/>
          <w:color w:val="auto"/>
          <w:sz w:val="22"/>
          <w:szCs w:val="22"/>
          <w:bdr w:val="none" w:sz="0" w:space="0" w:color="auto"/>
        </w:rPr>
      </w:pPr>
      <w:r w:rsidRPr="008D60FA">
        <w:rPr>
          <w:rFonts w:ascii="Arial" w:hAnsi="Arial" w:cs="Arial"/>
          <w:b/>
          <w:bCs/>
          <w:color w:val="auto"/>
          <w:sz w:val="22"/>
          <w:szCs w:val="22"/>
          <w:lang w:eastAsia="en-AU"/>
        </w:rPr>
        <w:t xml:space="preserve">Supplementary Figure S5: </w:t>
      </w:r>
      <w:r w:rsidRPr="008D60FA">
        <w:rPr>
          <w:rFonts w:ascii="Arial" w:eastAsiaTheme="minorHAnsi" w:hAnsi="Arial" w:cs="Arial"/>
          <w:b/>
          <w:bCs/>
          <w:color w:val="auto"/>
          <w:sz w:val="22"/>
          <w:szCs w:val="22"/>
          <w:bdr w:val="none" w:sz="0" w:space="0" w:color="auto"/>
        </w:rPr>
        <w:t xml:space="preserve">Variable re-expression patterns in PDX tumors generated from CD271- and CD271+ cells. </w:t>
      </w:r>
      <w:r w:rsidRPr="008D60FA">
        <w:rPr>
          <w:rFonts w:ascii="Arial" w:eastAsiaTheme="minorHAnsi" w:hAnsi="Arial" w:cs="Arial"/>
          <w:color w:val="auto"/>
          <w:sz w:val="22"/>
          <w:szCs w:val="22"/>
          <w:bdr w:val="none" w:sz="0" w:space="0" w:color="auto"/>
        </w:rPr>
        <w:t xml:space="preserve">Flow cytometrically purified CD271- and CD271+ cells from patient melanoma 12-1254, dissociated according to Q or C methods, were injected into NSG mice to form PDX tumors, which were then analyzed for CD271 expression. Top plots show CD271 expression in patient tumors at left and reanalyses of sorted cells at right. Bottom plots show CD271 expression in secondary PDX tumors (ST8, ST9, etc.) derived from injections of the indicated numbers of cells taken from the same pools of purified CD271+ (black plots) or CD271- (grey plots) cells. </w:t>
      </w:r>
    </w:p>
    <w:p w14:paraId="53432449" w14:textId="77777777" w:rsidR="008D60FA" w:rsidRPr="008D60FA" w:rsidRDefault="008D60FA" w:rsidP="008D60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480" w:lineRule="auto"/>
        <w:rPr>
          <w:rFonts w:ascii="Times" w:eastAsiaTheme="minorHAnsi" w:hAnsi="Times" w:cs="Times"/>
          <w:color w:val="auto"/>
          <w:sz w:val="22"/>
          <w:szCs w:val="22"/>
          <w:bdr w:val="none" w:sz="0" w:space="0" w:color="auto"/>
        </w:rPr>
      </w:pPr>
      <w:r w:rsidRPr="008D60FA">
        <w:rPr>
          <w:rFonts w:ascii="Arial" w:hAnsi="Arial" w:cs="Arial"/>
          <w:b/>
          <w:bCs/>
          <w:color w:val="auto"/>
          <w:sz w:val="22"/>
          <w:szCs w:val="22"/>
          <w:lang w:eastAsia="en-AU"/>
        </w:rPr>
        <w:t xml:space="preserve">Supplementary Figure S6: </w:t>
      </w:r>
      <w:r w:rsidRPr="008D60FA">
        <w:rPr>
          <w:rFonts w:ascii="Arial" w:eastAsiaTheme="minorHAnsi" w:hAnsi="Arial" w:cs="Arial"/>
          <w:b/>
          <w:bCs/>
          <w:color w:val="auto"/>
          <w:sz w:val="22"/>
          <w:szCs w:val="22"/>
          <w:bdr w:val="none" w:sz="0" w:space="0" w:color="auto"/>
        </w:rPr>
        <w:t xml:space="preserve">Marker expression patterns in PDX tumors grown from CD271- and CD271+ cells. </w:t>
      </w:r>
      <w:r w:rsidRPr="008D60FA">
        <w:rPr>
          <w:rFonts w:ascii="Arial" w:eastAsiaTheme="minorHAnsi" w:hAnsi="Arial" w:cs="Arial"/>
          <w:color w:val="auto"/>
          <w:sz w:val="22"/>
          <w:szCs w:val="22"/>
          <w:bdr w:val="none" w:sz="0" w:space="0" w:color="auto"/>
        </w:rPr>
        <w:t xml:space="preserve">Flow cytometrically purified CD271- and CD271+ cells from patient melanoma 12-1254 were injected into NSG mice to form secondary PDX tumors. These tumors were analyzed by immuno- histochemistry for expression of ALDH </w:t>
      </w:r>
      <w:r w:rsidRPr="008D60FA">
        <w:rPr>
          <w:rFonts w:ascii="Arial" w:eastAsiaTheme="minorHAnsi" w:hAnsi="Arial" w:cs="Arial"/>
          <w:b/>
          <w:bCs/>
          <w:color w:val="auto"/>
          <w:sz w:val="22"/>
          <w:szCs w:val="22"/>
          <w:bdr w:val="none" w:sz="0" w:space="0" w:color="auto"/>
        </w:rPr>
        <w:t>(a)</w:t>
      </w:r>
      <w:r w:rsidRPr="008D60FA">
        <w:rPr>
          <w:rFonts w:ascii="Arial" w:eastAsiaTheme="minorHAnsi" w:hAnsi="Arial" w:cs="Arial"/>
          <w:color w:val="auto"/>
          <w:sz w:val="22"/>
          <w:szCs w:val="22"/>
          <w:bdr w:val="none" w:sz="0" w:space="0" w:color="auto"/>
        </w:rPr>
        <w:t xml:space="preserve">, CD133 </w:t>
      </w:r>
      <w:r w:rsidRPr="008D60FA">
        <w:rPr>
          <w:rFonts w:ascii="Arial" w:eastAsiaTheme="minorHAnsi" w:hAnsi="Arial" w:cs="Arial"/>
          <w:b/>
          <w:bCs/>
          <w:color w:val="auto"/>
          <w:sz w:val="22"/>
          <w:szCs w:val="22"/>
          <w:bdr w:val="none" w:sz="0" w:space="0" w:color="auto"/>
        </w:rPr>
        <w:t>(b)</w:t>
      </w:r>
      <w:r w:rsidRPr="008D60FA">
        <w:rPr>
          <w:rFonts w:ascii="Arial" w:eastAsiaTheme="minorHAnsi" w:hAnsi="Arial" w:cs="Arial"/>
          <w:color w:val="auto"/>
          <w:sz w:val="22"/>
          <w:szCs w:val="22"/>
          <w:bdr w:val="none" w:sz="0" w:space="0" w:color="auto"/>
        </w:rPr>
        <w:t xml:space="preserve">, ABCB5 </w:t>
      </w:r>
      <w:r w:rsidRPr="008D60FA">
        <w:rPr>
          <w:rFonts w:ascii="Arial" w:eastAsiaTheme="minorHAnsi" w:hAnsi="Arial" w:cs="Arial"/>
          <w:b/>
          <w:bCs/>
          <w:color w:val="auto"/>
          <w:sz w:val="22"/>
          <w:szCs w:val="22"/>
          <w:bdr w:val="none" w:sz="0" w:space="0" w:color="auto"/>
        </w:rPr>
        <w:t>(c)</w:t>
      </w:r>
      <w:r w:rsidRPr="008D60FA">
        <w:rPr>
          <w:rFonts w:ascii="Arial" w:eastAsiaTheme="minorHAnsi" w:hAnsi="Arial" w:cs="Arial"/>
          <w:color w:val="auto"/>
          <w:sz w:val="22"/>
          <w:szCs w:val="22"/>
          <w:bdr w:val="none" w:sz="0" w:space="0" w:color="auto"/>
        </w:rPr>
        <w:t xml:space="preserve">, and JARID1B </w:t>
      </w:r>
      <w:r w:rsidRPr="008D60FA">
        <w:rPr>
          <w:rFonts w:ascii="Arial" w:eastAsiaTheme="minorHAnsi" w:hAnsi="Arial" w:cs="Arial"/>
          <w:b/>
          <w:bCs/>
          <w:color w:val="auto"/>
          <w:sz w:val="22"/>
          <w:szCs w:val="22"/>
          <w:bdr w:val="none" w:sz="0" w:space="0" w:color="auto"/>
        </w:rPr>
        <w:t>(d)</w:t>
      </w:r>
      <w:r w:rsidRPr="008D60FA">
        <w:rPr>
          <w:rFonts w:ascii="Arial" w:eastAsiaTheme="minorHAnsi" w:hAnsi="Arial" w:cs="Arial"/>
          <w:color w:val="auto"/>
          <w:sz w:val="22"/>
          <w:szCs w:val="22"/>
          <w:bdr w:val="none" w:sz="0" w:space="0" w:color="auto"/>
        </w:rPr>
        <w:t>. Percentages of positive cells are indicated in the top right corner. P</w:t>
      </w:r>
      <w:r w:rsidRPr="008D60FA">
        <w:rPr>
          <w:rFonts w:ascii="Arial" w:eastAsiaTheme="minorHAnsi" w:hAnsi="Arial" w:cs="Arial"/>
          <w:color w:val="070909"/>
          <w:sz w:val="22"/>
          <w:szCs w:val="22"/>
          <w:bdr w:val="none" w:sz="0" w:space="0" w:color="auto"/>
        </w:rPr>
        <w:t xml:space="preserve">ositive staining indicated by arrows. </w:t>
      </w:r>
    </w:p>
    <w:p w14:paraId="51D3EDCB" w14:textId="77777777" w:rsidR="008D60FA" w:rsidRPr="008D60FA" w:rsidRDefault="008D60FA" w:rsidP="008D60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480" w:lineRule="auto"/>
        <w:rPr>
          <w:rFonts w:ascii="Times" w:eastAsiaTheme="minorHAnsi" w:hAnsi="Times" w:cs="Times"/>
          <w:color w:val="auto"/>
          <w:sz w:val="22"/>
          <w:szCs w:val="22"/>
          <w:bdr w:val="none" w:sz="0" w:space="0" w:color="auto"/>
        </w:rPr>
      </w:pPr>
      <w:r w:rsidRPr="008D60FA">
        <w:rPr>
          <w:rFonts w:ascii="Arial" w:hAnsi="Arial" w:cs="Arial"/>
          <w:b/>
          <w:bCs/>
          <w:color w:val="auto"/>
          <w:sz w:val="22"/>
          <w:szCs w:val="22"/>
          <w:lang w:eastAsia="en-AU"/>
        </w:rPr>
        <w:t xml:space="preserve">Supplementary Figure S7: </w:t>
      </w:r>
      <w:r w:rsidRPr="008D60FA">
        <w:rPr>
          <w:rFonts w:ascii="Arial" w:eastAsiaTheme="minorHAnsi" w:hAnsi="Arial" w:cs="Arial"/>
          <w:b/>
          <w:bCs/>
          <w:color w:val="auto"/>
          <w:sz w:val="22"/>
          <w:szCs w:val="22"/>
          <w:bdr w:val="none" w:sz="0" w:space="0" w:color="auto"/>
        </w:rPr>
        <w:t xml:space="preserve">Genomic copy number differences among sibling PDX melanomas. </w:t>
      </w:r>
      <w:r w:rsidRPr="008D60FA">
        <w:rPr>
          <w:rFonts w:ascii="Arial" w:eastAsiaTheme="minorHAnsi" w:hAnsi="Arial" w:cs="Arial"/>
          <w:color w:val="auto"/>
          <w:sz w:val="22"/>
          <w:szCs w:val="22"/>
          <w:bdr w:val="none" w:sz="0" w:space="0" w:color="auto"/>
        </w:rPr>
        <w:t xml:space="preserve">T-statistic analyses indicating genomic regions of copy number difference among pairs of secondary sibling PDX tumors (ST6/7, ST10/11, ST12/13; see Figure 5a). Double headed arrows indicate chr 8 in ST11 and ST10 tumors. Grey </w:t>
      </w:r>
      <w:r w:rsidRPr="008D60FA">
        <w:rPr>
          <w:rFonts w:ascii="Arial" w:eastAsiaTheme="minorHAnsi" w:hAnsi="Arial" w:cs="Arial"/>
          <w:color w:val="auto"/>
          <w:sz w:val="22"/>
          <w:szCs w:val="22"/>
          <w:bdr w:val="none" w:sz="0" w:space="0" w:color="auto"/>
        </w:rPr>
        <w:lastRenderedPageBreak/>
        <w:t>regions in heat maps indicate regions of difference. Tumors in each pair were grown in the same experiments from injections of cells that were obtained from the same patient melanomas and that had the same CD271 phenotype.</w:t>
      </w:r>
    </w:p>
    <w:p w14:paraId="4A566674" w14:textId="77777777" w:rsidR="006B0A4A" w:rsidRPr="00076C69" w:rsidRDefault="008D60FA" w:rsidP="00076C6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480" w:lineRule="auto"/>
        <w:rPr>
          <w:rFonts w:ascii="Times" w:eastAsiaTheme="minorHAnsi" w:hAnsi="Times" w:cs="Times"/>
          <w:color w:val="auto"/>
          <w:sz w:val="22"/>
          <w:szCs w:val="22"/>
          <w:bdr w:val="none" w:sz="0" w:space="0" w:color="auto"/>
        </w:rPr>
      </w:pPr>
      <w:r w:rsidRPr="008D60FA">
        <w:rPr>
          <w:rFonts w:ascii="Arial" w:hAnsi="Arial" w:cs="Arial"/>
          <w:b/>
          <w:bCs/>
          <w:color w:val="auto"/>
          <w:sz w:val="22"/>
          <w:szCs w:val="22"/>
          <w:lang w:eastAsia="en-AU"/>
        </w:rPr>
        <w:t xml:space="preserve">Supplementary Figure S8: </w:t>
      </w:r>
      <w:r w:rsidRPr="008D60FA">
        <w:rPr>
          <w:rFonts w:ascii="Arial" w:eastAsiaTheme="minorHAnsi" w:hAnsi="Arial" w:cs="Arial"/>
          <w:b/>
          <w:bCs/>
          <w:color w:val="auto"/>
          <w:sz w:val="22"/>
          <w:szCs w:val="22"/>
          <w:bdr w:val="none" w:sz="0" w:space="0" w:color="auto"/>
        </w:rPr>
        <w:t xml:space="preserve">Genomic copy number differences among CD271- and CD271+ cells from PDX melanomas. </w:t>
      </w:r>
      <w:r w:rsidRPr="008D60FA">
        <w:rPr>
          <w:rFonts w:ascii="Arial" w:eastAsiaTheme="minorHAnsi" w:hAnsi="Arial" w:cs="Arial"/>
          <w:color w:val="auto"/>
          <w:sz w:val="22"/>
          <w:szCs w:val="22"/>
          <w:bdr w:val="none" w:sz="0" w:space="0" w:color="auto"/>
        </w:rPr>
        <w:t>T-statistic analyses indicating genomic regions of copy number difference between CD271- and CD271+ cells in four PDX melanomas (404, 12-736, 12-1036, 12-1254). Double headed arrows indicate chr 12 of melanoma 12-1254. Grey regions in heat maps indicate regions of difference.</w:t>
      </w:r>
      <w:bookmarkStart w:id="0" w:name="_GoBack"/>
      <w:bookmarkEnd w:id="0"/>
    </w:p>
    <w:sectPr w:rsidR="006B0A4A" w:rsidRPr="00076C69" w:rsidSect="00B47483">
      <w:footerReference w:type="default" r:id="rId7"/>
      <w:footerReference w:type="first" r:id="rId8"/>
      <w:pgSz w:w="11900" w:h="16840"/>
      <w:pgMar w:top="1440" w:right="1797" w:bottom="1440" w:left="1797" w:header="709" w:footer="709"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9F2D5" w14:textId="77777777" w:rsidR="008D60FA" w:rsidRDefault="008D60FA">
      <w:r>
        <w:separator/>
      </w:r>
    </w:p>
  </w:endnote>
  <w:endnote w:type="continuationSeparator" w:id="0">
    <w:p w14:paraId="41E8B53F" w14:textId="77777777" w:rsidR="008D60FA" w:rsidRDefault="008D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24259" w14:textId="77777777" w:rsidR="008D60FA" w:rsidRPr="0080173D" w:rsidRDefault="008D60FA" w:rsidP="008D60FA">
    <w:pPr>
      <w:pStyle w:val="Footer"/>
      <w:jc w:val="right"/>
      <w:rPr>
        <w:rFonts w:ascii="Arial" w:hAnsi="Arial"/>
        <w:sz w:val="22"/>
        <w:szCs w:val="2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EE9D8" w14:textId="77777777" w:rsidR="008D60FA" w:rsidRPr="0080173D" w:rsidRDefault="008D60FA" w:rsidP="008D60FA">
    <w:pPr>
      <w:pStyle w:val="Footer"/>
      <w:jc w:val="right"/>
      <w:rPr>
        <w:rFonts w:ascii="Arial" w:hAnsi="Arial"/>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54495" w14:textId="77777777" w:rsidR="008D60FA" w:rsidRDefault="008D60FA">
      <w:r>
        <w:separator/>
      </w:r>
    </w:p>
  </w:footnote>
  <w:footnote w:type="continuationSeparator" w:id="0">
    <w:p w14:paraId="1BB129F9" w14:textId="77777777" w:rsidR="008D60FA" w:rsidRDefault="008D60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483"/>
    <w:rsid w:val="00000D21"/>
    <w:rsid w:val="00001125"/>
    <w:rsid w:val="00001C34"/>
    <w:rsid w:val="000020B3"/>
    <w:rsid w:val="00002720"/>
    <w:rsid w:val="0000335E"/>
    <w:rsid w:val="0000529D"/>
    <w:rsid w:val="000062FB"/>
    <w:rsid w:val="00007215"/>
    <w:rsid w:val="0001070F"/>
    <w:rsid w:val="00011531"/>
    <w:rsid w:val="00013FAE"/>
    <w:rsid w:val="000140F5"/>
    <w:rsid w:val="00014C8F"/>
    <w:rsid w:val="0001596D"/>
    <w:rsid w:val="0001608D"/>
    <w:rsid w:val="000164BE"/>
    <w:rsid w:val="00016A5B"/>
    <w:rsid w:val="00016B34"/>
    <w:rsid w:val="00017EC6"/>
    <w:rsid w:val="00020314"/>
    <w:rsid w:val="000211B6"/>
    <w:rsid w:val="00030180"/>
    <w:rsid w:val="000305B9"/>
    <w:rsid w:val="0003091F"/>
    <w:rsid w:val="000312CA"/>
    <w:rsid w:val="00032A0C"/>
    <w:rsid w:val="00034593"/>
    <w:rsid w:val="00035EB5"/>
    <w:rsid w:val="00036020"/>
    <w:rsid w:val="000377E8"/>
    <w:rsid w:val="00040639"/>
    <w:rsid w:val="00041EC0"/>
    <w:rsid w:val="00041EF1"/>
    <w:rsid w:val="00042593"/>
    <w:rsid w:val="00050234"/>
    <w:rsid w:val="00051E21"/>
    <w:rsid w:val="00056ACA"/>
    <w:rsid w:val="00061BB5"/>
    <w:rsid w:val="00061E41"/>
    <w:rsid w:val="000635F8"/>
    <w:rsid w:val="00063C0F"/>
    <w:rsid w:val="00064E3A"/>
    <w:rsid w:val="00065024"/>
    <w:rsid w:val="000715E2"/>
    <w:rsid w:val="0007296D"/>
    <w:rsid w:val="00073889"/>
    <w:rsid w:val="00073D6A"/>
    <w:rsid w:val="000744B7"/>
    <w:rsid w:val="000747E1"/>
    <w:rsid w:val="00075631"/>
    <w:rsid w:val="00075F41"/>
    <w:rsid w:val="00076C69"/>
    <w:rsid w:val="00077EBC"/>
    <w:rsid w:val="00085B86"/>
    <w:rsid w:val="00085D96"/>
    <w:rsid w:val="000873CD"/>
    <w:rsid w:val="00087B98"/>
    <w:rsid w:val="00091223"/>
    <w:rsid w:val="000931EB"/>
    <w:rsid w:val="00093FB0"/>
    <w:rsid w:val="00094379"/>
    <w:rsid w:val="0009465B"/>
    <w:rsid w:val="000956A7"/>
    <w:rsid w:val="00095A4C"/>
    <w:rsid w:val="00095AA3"/>
    <w:rsid w:val="00096733"/>
    <w:rsid w:val="00096908"/>
    <w:rsid w:val="00096B96"/>
    <w:rsid w:val="000A17F6"/>
    <w:rsid w:val="000A2C24"/>
    <w:rsid w:val="000A2ECA"/>
    <w:rsid w:val="000A32AB"/>
    <w:rsid w:val="000A4ABA"/>
    <w:rsid w:val="000A726A"/>
    <w:rsid w:val="000A7301"/>
    <w:rsid w:val="000B044E"/>
    <w:rsid w:val="000B2FE2"/>
    <w:rsid w:val="000B3E93"/>
    <w:rsid w:val="000B58CF"/>
    <w:rsid w:val="000B61A0"/>
    <w:rsid w:val="000B6EC5"/>
    <w:rsid w:val="000B72AB"/>
    <w:rsid w:val="000C0457"/>
    <w:rsid w:val="000C2F04"/>
    <w:rsid w:val="000C53F7"/>
    <w:rsid w:val="000C6E99"/>
    <w:rsid w:val="000D1CB3"/>
    <w:rsid w:val="000D20AA"/>
    <w:rsid w:val="000D4987"/>
    <w:rsid w:val="000D6AC5"/>
    <w:rsid w:val="000D6D31"/>
    <w:rsid w:val="000E03A8"/>
    <w:rsid w:val="000E13C5"/>
    <w:rsid w:val="000E225D"/>
    <w:rsid w:val="000E3935"/>
    <w:rsid w:val="000E3E34"/>
    <w:rsid w:val="000E49F5"/>
    <w:rsid w:val="000E5233"/>
    <w:rsid w:val="000E5FFC"/>
    <w:rsid w:val="000E6D2F"/>
    <w:rsid w:val="000E77AC"/>
    <w:rsid w:val="000E7CF2"/>
    <w:rsid w:val="000F12C5"/>
    <w:rsid w:val="000F3A35"/>
    <w:rsid w:val="000F5A5F"/>
    <w:rsid w:val="000F7798"/>
    <w:rsid w:val="000F7E9D"/>
    <w:rsid w:val="00100BF3"/>
    <w:rsid w:val="0010130D"/>
    <w:rsid w:val="00103232"/>
    <w:rsid w:val="00103274"/>
    <w:rsid w:val="00105A8F"/>
    <w:rsid w:val="00112778"/>
    <w:rsid w:val="00113E89"/>
    <w:rsid w:val="00117880"/>
    <w:rsid w:val="00121FF5"/>
    <w:rsid w:val="0012214B"/>
    <w:rsid w:val="0012343A"/>
    <w:rsid w:val="00123C49"/>
    <w:rsid w:val="00125B75"/>
    <w:rsid w:val="00127673"/>
    <w:rsid w:val="00127968"/>
    <w:rsid w:val="00127C41"/>
    <w:rsid w:val="0013052B"/>
    <w:rsid w:val="00131A2D"/>
    <w:rsid w:val="00132FF7"/>
    <w:rsid w:val="00133A1C"/>
    <w:rsid w:val="00133D63"/>
    <w:rsid w:val="0013455D"/>
    <w:rsid w:val="001348C5"/>
    <w:rsid w:val="001355A9"/>
    <w:rsid w:val="00136DB2"/>
    <w:rsid w:val="0013749B"/>
    <w:rsid w:val="0014130B"/>
    <w:rsid w:val="001414DC"/>
    <w:rsid w:val="00142303"/>
    <w:rsid w:val="00142597"/>
    <w:rsid w:val="001431F8"/>
    <w:rsid w:val="00143333"/>
    <w:rsid w:val="00143CBE"/>
    <w:rsid w:val="00145200"/>
    <w:rsid w:val="00145A1E"/>
    <w:rsid w:val="00146043"/>
    <w:rsid w:val="00146A52"/>
    <w:rsid w:val="00147267"/>
    <w:rsid w:val="00147417"/>
    <w:rsid w:val="0014765C"/>
    <w:rsid w:val="001525CD"/>
    <w:rsid w:val="00152E2F"/>
    <w:rsid w:val="001540F7"/>
    <w:rsid w:val="00154203"/>
    <w:rsid w:val="001542EE"/>
    <w:rsid w:val="00155FDD"/>
    <w:rsid w:val="00156941"/>
    <w:rsid w:val="00161C58"/>
    <w:rsid w:val="001634B6"/>
    <w:rsid w:val="0016710D"/>
    <w:rsid w:val="00167C58"/>
    <w:rsid w:val="001701FE"/>
    <w:rsid w:val="00172C97"/>
    <w:rsid w:val="0017423A"/>
    <w:rsid w:val="00176703"/>
    <w:rsid w:val="00177F03"/>
    <w:rsid w:val="001806C3"/>
    <w:rsid w:val="00180978"/>
    <w:rsid w:val="00180F86"/>
    <w:rsid w:val="00181263"/>
    <w:rsid w:val="00181E38"/>
    <w:rsid w:val="00182182"/>
    <w:rsid w:val="00183A32"/>
    <w:rsid w:val="00183A4F"/>
    <w:rsid w:val="001849E3"/>
    <w:rsid w:val="00184E96"/>
    <w:rsid w:val="001862B1"/>
    <w:rsid w:val="00187672"/>
    <w:rsid w:val="00187DA6"/>
    <w:rsid w:val="001905C0"/>
    <w:rsid w:val="00190A67"/>
    <w:rsid w:val="00195162"/>
    <w:rsid w:val="00195694"/>
    <w:rsid w:val="00196BE1"/>
    <w:rsid w:val="00197973"/>
    <w:rsid w:val="001A2159"/>
    <w:rsid w:val="001A5109"/>
    <w:rsid w:val="001A5C47"/>
    <w:rsid w:val="001A5D10"/>
    <w:rsid w:val="001A7213"/>
    <w:rsid w:val="001B0284"/>
    <w:rsid w:val="001B0953"/>
    <w:rsid w:val="001C6BC0"/>
    <w:rsid w:val="001C7A30"/>
    <w:rsid w:val="001D0408"/>
    <w:rsid w:val="001D0A5D"/>
    <w:rsid w:val="001D12EB"/>
    <w:rsid w:val="001D14E9"/>
    <w:rsid w:val="001D1AE7"/>
    <w:rsid w:val="001D42EA"/>
    <w:rsid w:val="001D52F2"/>
    <w:rsid w:val="001D6659"/>
    <w:rsid w:val="001D6951"/>
    <w:rsid w:val="001D6AE8"/>
    <w:rsid w:val="001D6BD5"/>
    <w:rsid w:val="001D78E3"/>
    <w:rsid w:val="001E069F"/>
    <w:rsid w:val="001E4239"/>
    <w:rsid w:val="001E4260"/>
    <w:rsid w:val="001E7210"/>
    <w:rsid w:val="001E7251"/>
    <w:rsid w:val="001F0B6A"/>
    <w:rsid w:val="001F1C90"/>
    <w:rsid w:val="001F2C0D"/>
    <w:rsid w:val="001F3475"/>
    <w:rsid w:val="001F76C8"/>
    <w:rsid w:val="0020258D"/>
    <w:rsid w:val="00202814"/>
    <w:rsid w:val="0020491F"/>
    <w:rsid w:val="00207A01"/>
    <w:rsid w:val="0021106E"/>
    <w:rsid w:val="002123B3"/>
    <w:rsid w:val="0021410A"/>
    <w:rsid w:val="00214980"/>
    <w:rsid w:val="00214A08"/>
    <w:rsid w:val="00216E42"/>
    <w:rsid w:val="002176A9"/>
    <w:rsid w:val="002208F4"/>
    <w:rsid w:val="002210CA"/>
    <w:rsid w:val="002219D5"/>
    <w:rsid w:val="00221EBC"/>
    <w:rsid w:val="00222594"/>
    <w:rsid w:val="00223254"/>
    <w:rsid w:val="002233C6"/>
    <w:rsid w:val="00223427"/>
    <w:rsid w:val="00223C12"/>
    <w:rsid w:val="00224E2B"/>
    <w:rsid w:val="00225AEC"/>
    <w:rsid w:val="00225C1D"/>
    <w:rsid w:val="00226388"/>
    <w:rsid w:val="00230AFD"/>
    <w:rsid w:val="0023402F"/>
    <w:rsid w:val="002341AA"/>
    <w:rsid w:val="00235342"/>
    <w:rsid w:val="002365AE"/>
    <w:rsid w:val="00237CBE"/>
    <w:rsid w:val="002407D0"/>
    <w:rsid w:val="002408EF"/>
    <w:rsid w:val="00240C3E"/>
    <w:rsid w:val="0024314C"/>
    <w:rsid w:val="00243AE8"/>
    <w:rsid w:val="00245A68"/>
    <w:rsid w:val="00245E01"/>
    <w:rsid w:val="00246B5B"/>
    <w:rsid w:val="002471D6"/>
    <w:rsid w:val="00247BAB"/>
    <w:rsid w:val="00252712"/>
    <w:rsid w:val="002539F5"/>
    <w:rsid w:val="00255179"/>
    <w:rsid w:val="00255399"/>
    <w:rsid w:val="00255D17"/>
    <w:rsid w:val="00256CD0"/>
    <w:rsid w:val="0026073F"/>
    <w:rsid w:val="00263209"/>
    <w:rsid w:val="00265BF4"/>
    <w:rsid w:val="0027178D"/>
    <w:rsid w:val="00271B9B"/>
    <w:rsid w:val="00271D43"/>
    <w:rsid w:val="00271F19"/>
    <w:rsid w:val="002721BE"/>
    <w:rsid w:val="002722AA"/>
    <w:rsid w:val="00272463"/>
    <w:rsid w:val="00274255"/>
    <w:rsid w:val="002758F5"/>
    <w:rsid w:val="00276030"/>
    <w:rsid w:val="0027665B"/>
    <w:rsid w:val="00277C4D"/>
    <w:rsid w:val="0028032C"/>
    <w:rsid w:val="002807DA"/>
    <w:rsid w:val="00280B31"/>
    <w:rsid w:val="00280D0F"/>
    <w:rsid w:val="00281E8B"/>
    <w:rsid w:val="00282658"/>
    <w:rsid w:val="002857D4"/>
    <w:rsid w:val="00285BA8"/>
    <w:rsid w:val="002868DD"/>
    <w:rsid w:val="002877E5"/>
    <w:rsid w:val="00287D9B"/>
    <w:rsid w:val="00290599"/>
    <w:rsid w:val="00291EC8"/>
    <w:rsid w:val="00292E0A"/>
    <w:rsid w:val="00293EBD"/>
    <w:rsid w:val="00297A42"/>
    <w:rsid w:val="00297A47"/>
    <w:rsid w:val="00297EDD"/>
    <w:rsid w:val="002A16BB"/>
    <w:rsid w:val="002A1CF9"/>
    <w:rsid w:val="002A2B60"/>
    <w:rsid w:val="002A3CE0"/>
    <w:rsid w:val="002B37B3"/>
    <w:rsid w:val="002B3A0B"/>
    <w:rsid w:val="002B3A5E"/>
    <w:rsid w:val="002B701C"/>
    <w:rsid w:val="002B74B9"/>
    <w:rsid w:val="002C067C"/>
    <w:rsid w:val="002C121B"/>
    <w:rsid w:val="002C12A8"/>
    <w:rsid w:val="002C2012"/>
    <w:rsid w:val="002C354B"/>
    <w:rsid w:val="002C3D0A"/>
    <w:rsid w:val="002D17DA"/>
    <w:rsid w:val="002D2A9D"/>
    <w:rsid w:val="002D3349"/>
    <w:rsid w:val="002D3632"/>
    <w:rsid w:val="002D3CE0"/>
    <w:rsid w:val="002D4A2B"/>
    <w:rsid w:val="002D5078"/>
    <w:rsid w:val="002D5352"/>
    <w:rsid w:val="002D5F5A"/>
    <w:rsid w:val="002D604D"/>
    <w:rsid w:val="002D7F64"/>
    <w:rsid w:val="002E1C14"/>
    <w:rsid w:val="002E49DF"/>
    <w:rsid w:val="002E6E32"/>
    <w:rsid w:val="002F030F"/>
    <w:rsid w:val="002F07D0"/>
    <w:rsid w:val="002F293C"/>
    <w:rsid w:val="002F32E4"/>
    <w:rsid w:val="002F480D"/>
    <w:rsid w:val="002F7BBA"/>
    <w:rsid w:val="00301A84"/>
    <w:rsid w:val="00301F0F"/>
    <w:rsid w:val="00303090"/>
    <w:rsid w:val="0030485D"/>
    <w:rsid w:val="00304BAB"/>
    <w:rsid w:val="00304C26"/>
    <w:rsid w:val="0030765A"/>
    <w:rsid w:val="003109A6"/>
    <w:rsid w:val="0031164F"/>
    <w:rsid w:val="00311734"/>
    <w:rsid w:val="00312378"/>
    <w:rsid w:val="003135B8"/>
    <w:rsid w:val="00314DF9"/>
    <w:rsid w:val="00315AA9"/>
    <w:rsid w:val="00315E15"/>
    <w:rsid w:val="0032026B"/>
    <w:rsid w:val="00320785"/>
    <w:rsid w:val="003218B1"/>
    <w:rsid w:val="00321CAE"/>
    <w:rsid w:val="00322082"/>
    <w:rsid w:val="003221D2"/>
    <w:rsid w:val="003226FA"/>
    <w:rsid w:val="003267DE"/>
    <w:rsid w:val="0032685B"/>
    <w:rsid w:val="00331CCD"/>
    <w:rsid w:val="00333604"/>
    <w:rsid w:val="00333EE4"/>
    <w:rsid w:val="0033598E"/>
    <w:rsid w:val="00335B41"/>
    <w:rsid w:val="003362AB"/>
    <w:rsid w:val="00337FCD"/>
    <w:rsid w:val="00340013"/>
    <w:rsid w:val="003439A4"/>
    <w:rsid w:val="00343B98"/>
    <w:rsid w:val="00344FA1"/>
    <w:rsid w:val="00345D1A"/>
    <w:rsid w:val="00346111"/>
    <w:rsid w:val="00346446"/>
    <w:rsid w:val="00347B10"/>
    <w:rsid w:val="00351430"/>
    <w:rsid w:val="003529AC"/>
    <w:rsid w:val="00352D14"/>
    <w:rsid w:val="00354542"/>
    <w:rsid w:val="00357677"/>
    <w:rsid w:val="003601A1"/>
    <w:rsid w:val="003604DA"/>
    <w:rsid w:val="00360FD1"/>
    <w:rsid w:val="00363A3D"/>
    <w:rsid w:val="00364522"/>
    <w:rsid w:val="00367FA4"/>
    <w:rsid w:val="003712F7"/>
    <w:rsid w:val="003715F9"/>
    <w:rsid w:val="00372D75"/>
    <w:rsid w:val="00373545"/>
    <w:rsid w:val="003735AC"/>
    <w:rsid w:val="00375FE5"/>
    <w:rsid w:val="0037680E"/>
    <w:rsid w:val="00377ECD"/>
    <w:rsid w:val="003806F2"/>
    <w:rsid w:val="0038111D"/>
    <w:rsid w:val="0038197D"/>
    <w:rsid w:val="00382487"/>
    <w:rsid w:val="00383670"/>
    <w:rsid w:val="0038661D"/>
    <w:rsid w:val="00386EA6"/>
    <w:rsid w:val="00387609"/>
    <w:rsid w:val="003879E8"/>
    <w:rsid w:val="00387C66"/>
    <w:rsid w:val="00390441"/>
    <w:rsid w:val="0039207B"/>
    <w:rsid w:val="0039216A"/>
    <w:rsid w:val="00392F30"/>
    <w:rsid w:val="0039324E"/>
    <w:rsid w:val="00393905"/>
    <w:rsid w:val="00395F10"/>
    <w:rsid w:val="003961EF"/>
    <w:rsid w:val="00396352"/>
    <w:rsid w:val="00397DD2"/>
    <w:rsid w:val="003A2B7A"/>
    <w:rsid w:val="003A3BDC"/>
    <w:rsid w:val="003A456D"/>
    <w:rsid w:val="003A46FB"/>
    <w:rsid w:val="003A62AA"/>
    <w:rsid w:val="003A6559"/>
    <w:rsid w:val="003A6870"/>
    <w:rsid w:val="003A6DDF"/>
    <w:rsid w:val="003B129F"/>
    <w:rsid w:val="003B1426"/>
    <w:rsid w:val="003B258C"/>
    <w:rsid w:val="003B4B87"/>
    <w:rsid w:val="003B534A"/>
    <w:rsid w:val="003B7C2E"/>
    <w:rsid w:val="003C1480"/>
    <w:rsid w:val="003C21E1"/>
    <w:rsid w:val="003C2298"/>
    <w:rsid w:val="003C30A5"/>
    <w:rsid w:val="003C31DF"/>
    <w:rsid w:val="003C4298"/>
    <w:rsid w:val="003C520A"/>
    <w:rsid w:val="003C7E30"/>
    <w:rsid w:val="003D04B9"/>
    <w:rsid w:val="003D0FEE"/>
    <w:rsid w:val="003D2B58"/>
    <w:rsid w:val="003D5929"/>
    <w:rsid w:val="003D5A9C"/>
    <w:rsid w:val="003D609B"/>
    <w:rsid w:val="003E0324"/>
    <w:rsid w:val="003E1697"/>
    <w:rsid w:val="003E2430"/>
    <w:rsid w:val="003E4ADC"/>
    <w:rsid w:val="003E4B67"/>
    <w:rsid w:val="003E57B9"/>
    <w:rsid w:val="003E6592"/>
    <w:rsid w:val="003E7F92"/>
    <w:rsid w:val="003F02FA"/>
    <w:rsid w:val="003F1116"/>
    <w:rsid w:val="003F36D8"/>
    <w:rsid w:val="003F3FB1"/>
    <w:rsid w:val="003F46EC"/>
    <w:rsid w:val="003F4FDB"/>
    <w:rsid w:val="003F5EE5"/>
    <w:rsid w:val="003F689D"/>
    <w:rsid w:val="003F70CC"/>
    <w:rsid w:val="003F79F0"/>
    <w:rsid w:val="00400066"/>
    <w:rsid w:val="0040299A"/>
    <w:rsid w:val="00403840"/>
    <w:rsid w:val="004040CC"/>
    <w:rsid w:val="00404972"/>
    <w:rsid w:val="00405AA0"/>
    <w:rsid w:val="00406732"/>
    <w:rsid w:val="00406C01"/>
    <w:rsid w:val="00410074"/>
    <w:rsid w:val="00411B47"/>
    <w:rsid w:val="00414AC6"/>
    <w:rsid w:val="00415376"/>
    <w:rsid w:val="0041572A"/>
    <w:rsid w:val="0041618A"/>
    <w:rsid w:val="00416492"/>
    <w:rsid w:val="00416628"/>
    <w:rsid w:val="0041723E"/>
    <w:rsid w:val="00417620"/>
    <w:rsid w:val="00421689"/>
    <w:rsid w:val="00424F6C"/>
    <w:rsid w:val="00425082"/>
    <w:rsid w:val="004269B1"/>
    <w:rsid w:val="00426CEC"/>
    <w:rsid w:val="0043025E"/>
    <w:rsid w:val="004313BA"/>
    <w:rsid w:val="00431B69"/>
    <w:rsid w:val="004325B4"/>
    <w:rsid w:val="004348AD"/>
    <w:rsid w:val="004354F9"/>
    <w:rsid w:val="004363A8"/>
    <w:rsid w:val="004414EF"/>
    <w:rsid w:val="0044660A"/>
    <w:rsid w:val="0045060A"/>
    <w:rsid w:val="004514A2"/>
    <w:rsid w:val="00456D38"/>
    <w:rsid w:val="00457244"/>
    <w:rsid w:val="00460906"/>
    <w:rsid w:val="00462568"/>
    <w:rsid w:val="00463545"/>
    <w:rsid w:val="00463819"/>
    <w:rsid w:val="00463A30"/>
    <w:rsid w:val="00463AFC"/>
    <w:rsid w:val="004646FD"/>
    <w:rsid w:val="00464B61"/>
    <w:rsid w:val="00465705"/>
    <w:rsid w:val="004658A9"/>
    <w:rsid w:val="00465B61"/>
    <w:rsid w:val="0046724A"/>
    <w:rsid w:val="00467ECC"/>
    <w:rsid w:val="00470153"/>
    <w:rsid w:val="00471922"/>
    <w:rsid w:val="004737F1"/>
    <w:rsid w:val="00473CFF"/>
    <w:rsid w:val="00477BE6"/>
    <w:rsid w:val="004804E2"/>
    <w:rsid w:val="00481C19"/>
    <w:rsid w:val="0048343C"/>
    <w:rsid w:val="00483901"/>
    <w:rsid w:val="00483DF6"/>
    <w:rsid w:val="00484B16"/>
    <w:rsid w:val="00484D23"/>
    <w:rsid w:val="00484DA8"/>
    <w:rsid w:val="00484F50"/>
    <w:rsid w:val="004857E5"/>
    <w:rsid w:val="00486B65"/>
    <w:rsid w:val="00486D79"/>
    <w:rsid w:val="00490C9D"/>
    <w:rsid w:val="004937EF"/>
    <w:rsid w:val="0049438D"/>
    <w:rsid w:val="004962B3"/>
    <w:rsid w:val="004A26D3"/>
    <w:rsid w:val="004A31F7"/>
    <w:rsid w:val="004A435B"/>
    <w:rsid w:val="004A49C0"/>
    <w:rsid w:val="004A4DE8"/>
    <w:rsid w:val="004A5F46"/>
    <w:rsid w:val="004A6BE7"/>
    <w:rsid w:val="004A6E83"/>
    <w:rsid w:val="004B1829"/>
    <w:rsid w:val="004B25D5"/>
    <w:rsid w:val="004B34EA"/>
    <w:rsid w:val="004B49A9"/>
    <w:rsid w:val="004B5382"/>
    <w:rsid w:val="004B7850"/>
    <w:rsid w:val="004B7C1C"/>
    <w:rsid w:val="004C14EA"/>
    <w:rsid w:val="004C33D8"/>
    <w:rsid w:val="004C425A"/>
    <w:rsid w:val="004C44AE"/>
    <w:rsid w:val="004C4A94"/>
    <w:rsid w:val="004C52AD"/>
    <w:rsid w:val="004C6854"/>
    <w:rsid w:val="004C78B6"/>
    <w:rsid w:val="004D03C3"/>
    <w:rsid w:val="004D174D"/>
    <w:rsid w:val="004D1909"/>
    <w:rsid w:val="004D241A"/>
    <w:rsid w:val="004D2ECC"/>
    <w:rsid w:val="004D7521"/>
    <w:rsid w:val="004E06C6"/>
    <w:rsid w:val="004E28BA"/>
    <w:rsid w:val="004E2CEF"/>
    <w:rsid w:val="004E2DCC"/>
    <w:rsid w:val="004E3ECD"/>
    <w:rsid w:val="004E5993"/>
    <w:rsid w:val="004E6638"/>
    <w:rsid w:val="004E75B8"/>
    <w:rsid w:val="004E7614"/>
    <w:rsid w:val="004F16CE"/>
    <w:rsid w:val="004F1D97"/>
    <w:rsid w:val="004F1E9B"/>
    <w:rsid w:val="004F4DC7"/>
    <w:rsid w:val="004F6A19"/>
    <w:rsid w:val="00500135"/>
    <w:rsid w:val="00502023"/>
    <w:rsid w:val="00502043"/>
    <w:rsid w:val="00502139"/>
    <w:rsid w:val="00502A21"/>
    <w:rsid w:val="00504702"/>
    <w:rsid w:val="00505763"/>
    <w:rsid w:val="00510986"/>
    <w:rsid w:val="00510D1D"/>
    <w:rsid w:val="00512212"/>
    <w:rsid w:val="00512A55"/>
    <w:rsid w:val="005135C4"/>
    <w:rsid w:val="005145BF"/>
    <w:rsid w:val="00515AAD"/>
    <w:rsid w:val="0051633C"/>
    <w:rsid w:val="005165D5"/>
    <w:rsid w:val="00517CF5"/>
    <w:rsid w:val="00520279"/>
    <w:rsid w:val="00520641"/>
    <w:rsid w:val="00520C32"/>
    <w:rsid w:val="00523D59"/>
    <w:rsid w:val="00525F7C"/>
    <w:rsid w:val="00534E8E"/>
    <w:rsid w:val="005356F5"/>
    <w:rsid w:val="00535B37"/>
    <w:rsid w:val="00535DB0"/>
    <w:rsid w:val="00535E82"/>
    <w:rsid w:val="005371C6"/>
    <w:rsid w:val="00537BE1"/>
    <w:rsid w:val="00545404"/>
    <w:rsid w:val="00551E38"/>
    <w:rsid w:val="005537F1"/>
    <w:rsid w:val="00556A2F"/>
    <w:rsid w:val="005573BF"/>
    <w:rsid w:val="00557B3B"/>
    <w:rsid w:val="00560DB2"/>
    <w:rsid w:val="00563C3F"/>
    <w:rsid w:val="005662E1"/>
    <w:rsid w:val="0056680F"/>
    <w:rsid w:val="00566D71"/>
    <w:rsid w:val="00567ADB"/>
    <w:rsid w:val="00570934"/>
    <w:rsid w:val="00574806"/>
    <w:rsid w:val="005757FA"/>
    <w:rsid w:val="00577316"/>
    <w:rsid w:val="00577CDF"/>
    <w:rsid w:val="00577DDF"/>
    <w:rsid w:val="0058026C"/>
    <w:rsid w:val="00582144"/>
    <w:rsid w:val="00582401"/>
    <w:rsid w:val="005862B0"/>
    <w:rsid w:val="005879C4"/>
    <w:rsid w:val="00590501"/>
    <w:rsid w:val="0059202C"/>
    <w:rsid w:val="00593BC0"/>
    <w:rsid w:val="00595B61"/>
    <w:rsid w:val="005A00AE"/>
    <w:rsid w:val="005A057F"/>
    <w:rsid w:val="005A098E"/>
    <w:rsid w:val="005A0E01"/>
    <w:rsid w:val="005A1CF9"/>
    <w:rsid w:val="005A3C3B"/>
    <w:rsid w:val="005A3F75"/>
    <w:rsid w:val="005A4F6F"/>
    <w:rsid w:val="005A5657"/>
    <w:rsid w:val="005A6282"/>
    <w:rsid w:val="005A7219"/>
    <w:rsid w:val="005B0800"/>
    <w:rsid w:val="005B08FF"/>
    <w:rsid w:val="005B358A"/>
    <w:rsid w:val="005B5368"/>
    <w:rsid w:val="005B596E"/>
    <w:rsid w:val="005B6125"/>
    <w:rsid w:val="005C01FB"/>
    <w:rsid w:val="005C3DA7"/>
    <w:rsid w:val="005C4C3B"/>
    <w:rsid w:val="005C535C"/>
    <w:rsid w:val="005C5D6E"/>
    <w:rsid w:val="005C6CB2"/>
    <w:rsid w:val="005C7396"/>
    <w:rsid w:val="005C783F"/>
    <w:rsid w:val="005D1F7B"/>
    <w:rsid w:val="005D3E8C"/>
    <w:rsid w:val="005D4259"/>
    <w:rsid w:val="005D4F18"/>
    <w:rsid w:val="005D6B3D"/>
    <w:rsid w:val="005D7CFF"/>
    <w:rsid w:val="005D7F89"/>
    <w:rsid w:val="005E0501"/>
    <w:rsid w:val="005E316D"/>
    <w:rsid w:val="005E3B67"/>
    <w:rsid w:val="005E3F3D"/>
    <w:rsid w:val="005E40D4"/>
    <w:rsid w:val="005E6644"/>
    <w:rsid w:val="005E750D"/>
    <w:rsid w:val="005F03A8"/>
    <w:rsid w:val="005F1968"/>
    <w:rsid w:val="005F2BC4"/>
    <w:rsid w:val="005F4208"/>
    <w:rsid w:val="005F4909"/>
    <w:rsid w:val="005F4B51"/>
    <w:rsid w:val="005F4E09"/>
    <w:rsid w:val="005F4FB8"/>
    <w:rsid w:val="005F750A"/>
    <w:rsid w:val="005F7C4F"/>
    <w:rsid w:val="005F7E79"/>
    <w:rsid w:val="0060004C"/>
    <w:rsid w:val="00602432"/>
    <w:rsid w:val="006049DD"/>
    <w:rsid w:val="0060618C"/>
    <w:rsid w:val="0061096E"/>
    <w:rsid w:val="006109A7"/>
    <w:rsid w:val="006116B3"/>
    <w:rsid w:val="006122E2"/>
    <w:rsid w:val="00612C43"/>
    <w:rsid w:val="00616BCA"/>
    <w:rsid w:val="006204E2"/>
    <w:rsid w:val="00622C3C"/>
    <w:rsid w:val="00622E63"/>
    <w:rsid w:val="00623029"/>
    <w:rsid w:val="00623111"/>
    <w:rsid w:val="0062370A"/>
    <w:rsid w:val="006242F4"/>
    <w:rsid w:val="006248E1"/>
    <w:rsid w:val="00624DAD"/>
    <w:rsid w:val="00630A87"/>
    <w:rsid w:val="0063288B"/>
    <w:rsid w:val="00632DDB"/>
    <w:rsid w:val="00637BDE"/>
    <w:rsid w:val="00640B3A"/>
    <w:rsid w:val="00642BCB"/>
    <w:rsid w:val="00643BC2"/>
    <w:rsid w:val="00646672"/>
    <w:rsid w:val="0065118B"/>
    <w:rsid w:val="00653C3D"/>
    <w:rsid w:val="00657451"/>
    <w:rsid w:val="00657A74"/>
    <w:rsid w:val="00657BF0"/>
    <w:rsid w:val="0066003F"/>
    <w:rsid w:val="00660529"/>
    <w:rsid w:val="00660841"/>
    <w:rsid w:val="0066175D"/>
    <w:rsid w:val="00664B8C"/>
    <w:rsid w:val="00671128"/>
    <w:rsid w:val="00671210"/>
    <w:rsid w:val="006734C0"/>
    <w:rsid w:val="00673C35"/>
    <w:rsid w:val="00674F4B"/>
    <w:rsid w:val="0067663D"/>
    <w:rsid w:val="00676B26"/>
    <w:rsid w:val="00677FDB"/>
    <w:rsid w:val="00680AC1"/>
    <w:rsid w:val="00683CC3"/>
    <w:rsid w:val="0068479B"/>
    <w:rsid w:val="00685B4C"/>
    <w:rsid w:val="00685B7B"/>
    <w:rsid w:val="0068646E"/>
    <w:rsid w:val="006867ED"/>
    <w:rsid w:val="0069049B"/>
    <w:rsid w:val="00690CFE"/>
    <w:rsid w:val="00690F6F"/>
    <w:rsid w:val="006919B8"/>
    <w:rsid w:val="00692E24"/>
    <w:rsid w:val="0069445E"/>
    <w:rsid w:val="006A0161"/>
    <w:rsid w:val="006A0582"/>
    <w:rsid w:val="006A1A85"/>
    <w:rsid w:val="006A5719"/>
    <w:rsid w:val="006B05FE"/>
    <w:rsid w:val="006B0A4A"/>
    <w:rsid w:val="006B1287"/>
    <w:rsid w:val="006B1644"/>
    <w:rsid w:val="006B31D0"/>
    <w:rsid w:val="006B3FE9"/>
    <w:rsid w:val="006B3FED"/>
    <w:rsid w:val="006B49D9"/>
    <w:rsid w:val="006B51ED"/>
    <w:rsid w:val="006B74BE"/>
    <w:rsid w:val="006C06A9"/>
    <w:rsid w:val="006C0BA6"/>
    <w:rsid w:val="006C1364"/>
    <w:rsid w:val="006C2C9E"/>
    <w:rsid w:val="006C5055"/>
    <w:rsid w:val="006C50F1"/>
    <w:rsid w:val="006C59CC"/>
    <w:rsid w:val="006C7A27"/>
    <w:rsid w:val="006D0087"/>
    <w:rsid w:val="006D1B9D"/>
    <w:rsid w:val="006D23C9"/>
    <w:rsid w:val="006D332D"/>
    <w:rsid w:val="006D459C"/>
    <w:rsid w:val="006D45A7"/>
    <w:rsid w:val="006D5DE4"/>
    <w:rsid w:val="006D68E2"/>
    <w:rsid w:val="006D7F6A"/>
    <w:rsid w:val="006E13D1"/>
    <w:rsid w:val="006E6648"/>
    <w:rsid w:val="006F0AA0"/>
    <w:rsid w:val="006F1B8D"/>
    <w:rsid w:val="006F20CF"/>
    <w:rsid w:val="006F30E3"/>
    <w:rsid w:val="006F3D5F"/>
    <w:rsid w:val="006F47A2"/>
    <w:rsid w:val="006F5418"/>
    <w:rsid w:val="006F5799"/>
    <w:rsid w:val="006F5EA4"/>
    <w:rsid w:val="006F69BC"/>
    <w:rsid w:val="006F7A2E"/>
    <w:rsid w:val="006F7AF5"/>
    <w:rsid w:val="007019B2"/>
    <w:rsid w:val="00701CDB"/>
    <w:rsid w:val="00702B9E"/>
    <w:rsid w:val="0070327C"/>
    <w:rsid w:val="0070335E"/>
    <w:rsid w:val="0070370A"/>
    <w:rsid w:val="007038B7"/>
    <w:rsid w:val="007113DE"/>
    <w:rsid w:val="00711863"/>
    <w:rsid w:val="00711C05"/>
    <w:rsid w:val="00711F7C"/>
    <w:rsid w:val="007121D1"/>
    <w:rsid w:val="007129B8"/>
    <w:rsid w:val="00715E53"/>
    <w:rsid w:val="0071775C"/>
    <w:rsid w:val="00721F04"/>
    <w:rsid w:val="00725E18"/>
    <w:rsid w:val="0072604B"/>
    <w:rsid w:val="0072699E"/>
    <w:rsid w:val="007275B0"/>
    <w:rsid w:val="007275DB"/>
    <w:rsid w:val="00727FAD"/>
    <w:rsid w:val="00730034"/>
    <w:rsid w:val="00730143"/>
    <w:rsid w:val="007302DB"/>
    <w:rsid w:val="00730433"/>
    <w:rsid w:val="007326FB"/>
    <w:rsid w:val="007339A1"/>
    <w:rsid w:val="00737FF3"/>
    <w:rsid w:val="00740B7E"/>
    <w:rsid w:val="007436B3"/>
    <w:rsid w:val="00743704"/>
    <w:rsid w:val="0074530A"/>
    <w:rsid w:val="007506E4"/>
    <w:rsid w:val="0075115E"/>
    <w:rsid w:val="007515FA"/>
    <w:rsid w:val="0075331F"/>
    <w:rsid w:val="00753D49"/>
    <w:rsid w:val="00753D7F"/>
    <w:rsid w:val="00755CC6"/>
    <w:rsid w:val="00755F3A"/>
    <w:rsid w:val="00756186"/>
    <w:rsid w:val="00757846"/>
    <w:rsid w:val="007623CC"/>
    <w:rsid w:val="00762E5B"/>
    <w:rsid w:val="00763510"/>
    <w:rsid w:val="00765B21"/>
    <w:rsid w:val="0076765D"/>
    <w:rsid w:val="0077031E"/>
    <w:rsid w:val="00773DE8"/>
    <w:rsid w:val="00774F17"/>
    <w:rsid w:val="00775A05"/>
    <w:rsid w:val="00776D2E"/>
    <w:rsid w:val="0077762F"/>
    <w:rsid w:val="00783163"/>
    <w:rsid w:val="00783F0E"/>
    <w:rsid w:val="007851E2"/>
    <w:rsid w:val="00786258"/>
    <w:rsid w:val="007870B9"/>
    <w:rsid w:val="007871B3"/>
    <w:rsid w:val="007904EE"/>
    <w:rsid w:val="00792AF1"/>
    <w:rsid w:val="007933F8"/>
    <w:rsid w:val="00793BA5"/>
    <w:rsid w:val="00794483"/>
    <w:rsid w:val="00794DBF"/>
    <w:rsid w:val="0079517C"/>
    <w:rsid w:val="00795422"/>
    <w:rsid w:val="007962C3"/>
    <w:rsid w:val="00796367"/>
    <w:rsid w:val="007A1F72"/>
    <w:rsid w:val="007A2E5D"/>
    <w:rsid w:val="007A3510"/>
    <w:rsid w:val="007A56BE"/>
    <w:rsid w:val="007A62C4"/>
    <w:rsid w:val="007B3BEE"/>
    <w:rsid w:val="007B4ADA"/>
    <w:rsid w:val="007C1421"/>
    <w:rsid w:val="007C4B11"/>
    <w:rsid w:val="007C4F68"/>
    <w:rsid w:val="007C526D"/>
    <w:rsid w:val="007C5BE3"/>
    <w:rsid w:val="007D14A8"/>
    <w:rsid w:val="007D19A1"/>
    <w:rsid w:val="007D2BAB"/>
    <w:rsid w:val="007D7639"/>
    <w:rsid w:val="007D7E87"/>
    <w:rsid w:val="007E1C77"/>
    <w:rsid w:val="007E2194"/>
    <w:rsid w:val="007E591A"/>
    <w:rsid w:val="007E73C7"/>
    <w:rsid w:val="007E7CBB"/>
    <w:rsid w:val="007F29A4"/>
    <w:rsid w:val="007F3E22"/>
    <w:rsid w:val="007F4154"/>
    <w:rsid w:val="007F4BAC"/>
    <w:rsid w:val="007F7DE4"/>
    <w:rsid w:val="008010E9"/>
    <w:rsid w:val="00801753"/>
    <w:rsid w:val="00801A80"/>
    <w:rsid w:val="00801CEB"/>
    <w:rsid w:val="00801F99"/>
    <w:rsid w:val="00804AD5"/>
    <w:rsid w:val="00807E80"/>
    <w:rsid w:val="00812080"/>
    <w:rsid w:val="008120F5"/>
    <w:rsid w:val="00813504"/>
    <w:rsid w:val="008140F6"/>
    <w:rsid w:val="00814873"/>
    <w:rsid w:val="00814E75"/>
    <w:rsid w:val="00816441"/>
    <w:rsid w:val="00823554"/>
    <w:rsid w:val="00823934"/>
    <w:rsid w:val="00823E3D"/>
    <w:rsid w:val="00824013"/>
    <w:rsid w:val="00826624"/>
    <w:rsid w:val="0082790B"/>
    <w:rsid w:val="00831188"/>
    <w:rsid w:val="008319D0"/>
    <w:rsid w:val="00831EB0"/>
    <w:rsid w:val="008325D2"/>
    <w:rsid w:val="00835519"/>
    <w:rsid w:val="00835681"/>
    <w:rsid w:val="0083654E"/>
    <w:rsid w:val="008365C9"/>
    <w:rsid w:val="00837C47"/>
    <w:rsid w:val="00837C52"/>
    <w:rsid w:val="00837F5D"/>
    <w:rsid w:val="00840001"/>
    <w:rsid w:val="0084009E"/>
    <w:rsid w:val="00840A94"/>
    <w:rsid w:val="0084194B"/>
    <w:rsid w:val="008423C5"/>
    <w:rsid w:val="00843D00"/>
    <w:rsid w:val="00845369"/>
    <w:rsid w:val="00845F61"/>
    <w:rsid w:val="0084612F"/>
    <w:rsid w:val="008467A1"/>
    <w:rsid w:val="0085025D"/>
    <w:rsid w:val="00854464"/>
    <w:rsid w:val="00855DE4"/>
    <w:rsid w:val="0085762D"/>
    <w:rsid w:val="008579AB"/>
    <w:rsid w:val="00861102"/>
    <w:rsid w:val="0086315F"/>
    <w:rsid w:val="00863C85"/>
    <w:rsid w:val="00866B0A"/>
    <w:rsid w:val="008671B2"/>
    <w:rsid w:val="00870A2F"/>
    <w:rsid w:val="008717F0"/>
    <w:rsid w:val="00872250"/>
    <w:rsid w:val="00872BAE"/>
    <w:rsid w:val="00873929"/>
    <w:rsid w:val="008739E5"/>
    <w:rsid w:val="00874326"/>
    <w:rsid w:val="008759D2"/>
    <w:rsid w:val="0087723B"/>
    <w:rsid w:val="00877BCB"/>
    <w:rsid w:val="00880456"/>
    <w:rsid w:val="008820F9"/>
    <w:rsid w:val="0088475C"/>
    <w:rsid w:val="008861E8"/>
    <w:rsid w:val="00886C03"/>
    <w:rsid w:val="00886EC8"/>
    <w:rsid w:val="00887A3C"/>
    <w:rsid w:val="00887B1E"/>
    <w:rsid w:val="0089223F"/>
    <w:rsid w:val="008951ED"/>
    <w:rsid w:val="008A1347"/>
    <w:rsid w:val="008A14F1"/>
    <w:rsid w:val="008A334F"/>
    <w:rsid w:val="008A354F"/>
    <w:rsid w:val="008A38A3"/>
    <w:rsid w:val="008A41C0"/>
    <w:rsid w:val="008A6036"/>
    <w:rsid w:val="008A66E7"/>
    <w:rsid w:val="008A78B7"/>
    <w:rsid w:val="008B0DA7"/>
    <w:rsid w:val="008B2305"/>
    <w:rsid w:val="008B3115"/>
    <w:rsid w:val="008B34E9"/>
    <w:rsid w:val="008B359D"/>
    <w:rsid w:val="008B49A5"/>
    <w:rsid w:val="008B4AF3"/>
    <w:rsid w:val="008B5148"/>
    <w:rsid w:val="008B666A"/>
    <w:rsid w:val="008B6705"/>
    <w:rsid w:val="008B7029"/>
    <w:rsid w:val="008B7778"/>
    <w:rsid w:val="008C090B"/>
    <w:rsid w:val="008C11DF"/>
    <w:rsid w:val="008C4147"/>
    <w:rsid w:val="008C558D"/>
    <w:rsid w:val="008C5D02"/>
    <w:rsid w:val="008C651B"/>
    <w:rsid w:val="008D1030"/>
    <w:rsid w:val="008D1362"/>
    <w:rsid w:val="008D1D70"/>
    <w:rsid w:val="008D298A"/>
    <w:rsid w:val="008D60FA"/>
    <w:rsid w:val="008D617C"/>
    <w:rsid w:val="008E0DE1"/>
    <w:rsid w:val="008E0E0F"/>
    <w:rsid w:val="008E0F50"/>
    <w:rsid w:val="008E132E"/>
    <w:rsid w:val="008E3553"/>
    <w:rsid w:val="008E4CE4"/>
    <w:rsid w:val="008E58F6"/>
    <w:rsid w:val="008E615A"/>
    <w:rsid w:val="008E6DC1"/>
    <w:rsid w:val="008F07B8"/>
    <w:rsid w:val="008F3ABB"/>
    <w:rsid w:val="008F71C2"/>
    <w:rsid w:val="009019D8"/>
    <w:rsid w:val="00903364"/>
    <w:rsid w:val="00905D4B"/>
    <w:rsid w:val="009070B6"/>
    <w:rsid w:val="0090758F"/>
    <w:rsid w:val="009102F6"/>
    <w:rsid w:val="00913C08"/>
    <w:rsid w:val="00913C46"/>
    <w:rsid w:val="0091444A"/>
    <w:rsid w:val="0091572F"/>
    <w:rsid w:val="00916756"/>
    <w:rsid w:val="009202F9"/>
    <w:rsid w:val="00920985"/>
    <w:rsid w:val="00922D24"/>
    <w:rsid w:val="00922D35"/>
    <w:rsid w:val="00923E54"/>
    <w:rsid w:val="0092424D"/>
    <w:rsid w:val="00924CC1"/>
    <w:rsid w:val="009265A6"/>
    <w:rsid w:val="00927846"/>
    <w:rsid w:val="009324D4"/>
    <w:rsid w:val="00933829"/>
    <w:rsid w:val="00933AF8"/>
    <w:rsid w:val="00933F7A"/>
    <w:rsid w:val="00934107"/>
    <w:rsid w:val="00934A2D"/>
    <w:rsid w:val="00935BB3"/>
    <w:rsid w:val="00936114"/>
    <w:rsid w:val="00936FA2"/>
    <w:rsid w:val="009374B9"/>
    <w:rsid w:val="009406A9"/>
    <w:rsid w:val="00940AC7"/>
    <w:rsid w:val="00940D2A"/>
    <w:rsid w:val="0094104E"/>
    <w:rsid w:val="009412BF"/>
    <w:rsid w:val="009425D3"/>
    <w:rsid w:val="00945B4C"/>
    <w:rsid w:val="00945E42"/>
    <w:rsid w:val="00946690"/>
    <w:rsid w:val="00947B14"/>
    <w:rsid w:val="00950091"/>
    <w:rsid w:val="00951A4D"/>
    <w:rsid w:val="0095204B"/>
    <w:rsid w:val="00953B30"/>
    <w:rsid w:val="009574BF"/>
    <w:rsid w:val="009629A3"/>
    <w:rsid w:val="009630C9"/>
    <w:rsid w:val="00964E66"/>
    <w:rsid w:val="009652A1"/>
    <w:rsid w:val="00965D5C"/>
    <w:rsid w:val="00966810"/>
    <w:rsid w:val="00966818"/>
    <w:rsid w:val="009670D9"/>
    <w:rsid w:val="00972829"/>
    <w:rsid w:val="00975CE0"/>
    <w:rsid w:val="00977685"/>
    <w:rsid w:val="00977D0C"/>
    <w:rsid w:val="00980B06"/>
    <w:rsid w:val="009818E3"/>
    <w:rsid w:val="00982AF3"/>
    <w:rsid w:val="009844B8"/>
    <w:rsid w:val="00986356"/>
    <w:rsid w:val="009863D0"/>
    <w:rsid w:val="009878E3"/>
    <w:rsid w:val="00987C08"/>
    <w:rsid w:val="009912F7"/>
    <w:rsid w:val="0099204B"/>
    <w:rsid w:val="0099495E"/>
    <w:rsid w:val="009A48C7"/>
    <w:rsid w:val="009A50AF"/>
    <w:rsid w:val="009A527F"/>
    <w:rsid w:val="009A5FE8"/>
    <w:rsid w:val="009A6CB5"/>
    <w:rsid w:val="009A7E3C"/>
    <w:rsid w:val="009B1293"/>
    <w:rsid w:val="009B1E39"/>
    <w:rsid w:val="009B24D5"/>
    <w:rsid w:val="009B2688"/>
    <w:rsid w:val="009B3428"/>
    <w:rsid w:val="009B3788"/>
    <w:rsid w:val="009B3EF5"/>
    <w:rsid w:val="009B3F8B"/>
    <w:rsid w:val="009B434C"/>
    <w:rsid w:val="009B442B"/>
    <w:rsid w:val="009B4B17"/>
    <w:rsid w:val="009B53E0"/>
    <w:rsid w:val="009B5865"/>
    <w:rsid w:val="009B79E4"/>
    <w:rsid w:val="009C1878"/>
    <w:rsid w:val="009C1D7C"/>
    <w:rsid w:val="009C2369"/>
    <w:rsid w:val="009C41B6"/>
    <w:rsid w:val="009C439B"/>
    <w:rsid w:val="009C5A84"/>
    <w:rsid w:val="009C5ED0"/>
    <w:rsid w:val="009C78CB"/>
    <w:rsid w:val="009C7A73"/>
    <w:rsid w:val="009C7D28"/>
    <w:rsid w:val="009D0863"/>
    <w:rsid w:val="009D1AA8"/>
    <w:rsid w:val="009D5156"/>
    <w:rsid w:val="009D6344"/>
    <w:rsid w:val="009D6DEB"/>
    <w:rsid w:val="009D7675"/>
    <w:rsid w:val="009E05D3"/>
    <w:rsid w:val="009E18CA"/>
    <w:rsid w:val="009E2475"/>
    <w:rsid w:val="009E3A41"/>
    <w:rsid w:val="009E445D"/>
    <w:rsid w:val="009E5039"/>
    <w:rsid w:val="009E6683"/>
    <w:rsid w:val="009F1A3C"/>
    <w:rsid w:val="009F2925"/>
    <w:rsid w:val="009F2A04"/>
    <w:rsid w:val="009F44B2"/>
    <w:rsid w:val="009F5D1C"/>
    <w:rsid w:val="00A0024A"/>
    <w:rsid w:val="00A015F0"/>
    <w:rsid w:val="00A025A3"/>
    <w:rsid w:val="00A03B3E"/>
    <w:rsid w:val="00A04A7B"/>
    <w:rsid w:val="00A05ED1"/>
    <w:rsid w:val="00A113ED"/>
    <w:rsid w:val="00A12429"/>
    <w:rsid w:val="00A127D0"/>
    <w:rsid w:val="00A128A6"/>
    <w:rsid w:val="00A1380A"/>
    <w:rsid w:val="00A14652"/>
    <w:rsid w:val="00A151D7"/>
    <w:rsid w:val="00A16C28"/>
    <w:rsid w:val="00A17840"/>
    <w:rsid w:val="00A20870"/>
    <w:rsid w:val="00A25FD7"/>
    <w:rsid w:val="00A34997"/>
    <w:rsid w:val="00A35523"/>
    <w:rsid w:val="00A3583C"/>
    <w:rsid w:val="00A36230"/>
    <w:rsid w:val="00A36288"/>
    <w:rsid w:val="00A366C9"/>
    <w:rsid w:val="00A368A5"/>
    <w:rsid w:val="00A37037"/>
    <w:rsid w:val="00A37938"/>
    <w:rsid w:val="00A37DAD"/>
    <w:rsid w:val="00A40C9F"/>
    <w:rsid w:val="00A41487"/>
    <w:rsid w:val="00A41580"/>
    <w:rsid w:val="00A421F0"/>
    <w:rsid w:val="00A438A4"/>
    <w:rsid w:val="00A45685"/>
    <w:rsid w:val="00A458B5"/>
    <w:rsid w:val="00A46BB5"/>
    <w:rsid w:val="00A503D7"/>
    <w:rsid w:val="00A518EF"/>
    <w:rsid w:val="00A522EE"/>
    <w:rsid w:val="00A52B13"/>
    <w:rsid w:val="00A52EDA"/>
    <w:rsid w:val="00A5467F"/>
    <w:rsid w:val="00A5789E"/>
    <w:rsid w:val="00A57BD6"/>
    <w:rsid w:val="00A60FEA"/>
    <w:rsid w:val="00A61999"/>
    <w:rsid w:val="00A63D33"/>
    <w:rsid w:val="00A6622F"/>
    <w:rsid w:val="00A703BC"/>
    <w:rsid w:val="00A71989"/>
    <w:rsid w:val="00A71CEC"/>
    <w:rsid w:val="00A7399E"/>
    <w:rsid w:val="00A74EF9"/>
    <w:rsid w:val="00A7575A"/>
    <w:rsid w:val="00A757E5"/>
    <w:rsid w:val="00A769E1"/>
    <w:rsid w:val="00A77BE9"/>
    <w:rsid w:val="00A83206"/>
    <w:rsid w:val="00A903EA"/>
    <w:rsid w:val="00A90AE4"/>
    <w:rsid w:val="00A90C6A"/>
    <w:rsid w:val="00A90D20"/>
    <w:rsid w:val="00A90EC2"/>
    <w:rsid w:val="00A914E1"/>
    <w:rsid w:val="00A92020"/>
    <w:rsid w:val="00A94142"/>
    <w:rsid w:val="00A9539C"/>
    <w:rsid w:val="00AA0CC6"/>
    <w:rsid w:val="00AA1310"/>
    <w:rsid w:val="00AA1C58"/>
    <w:rsid w:val="00AA2077"/>
    <w:rsid w:val="00AA2B90"/>
    <w:rsid w:val="00AA3415"/>
    <w:rsid w:val="00AA38C5"/>
    <w:rsid w:val="00AA52DE"/>
    <w:rsid w:val="00AB03A1"/>
    <w:rsid w:val="00AB1E48"/>
    <w:rsid w:val="00AB4134"/>
    <w:rsid w:val="00AB5776"/>
    <w:rsid w:val="00AB6523"/>
    <w:rsid w:val="00AB66BD"/>
    <w:rsid w:val="00AB727D"/>
    <w:rsid w:val="00AB7588"/>
    <w:rsid w:val="00AB763D"/>
    <w:rsid w:val="00AC2936"/>
    <w:rsid w:val="00AC66C2"/>
    <w:rsid w:val="00AC70D9"/>
    <w:rsid w:val="00AD009B"/>
    <w:rsid w:val="00AD01B8"/>
    <w:rsid w:val="00AD05D6"/>
    <w:rsid w:val="00AD1042"/>
    <w:rsid w:val="00AD241A"/>
    <w:rsid w:val="00AD58B2"/>
    <w:rsid w:val="00AE12B9"/>
    <w:rsid w:val="00AE27A1"/>
    <w:rsid w:val="00AE6313"/>
    <w:rsid w:val="00AE6C2B"/>
    <w:rsid w:val="00AE726C"/>
    <w:rsid w:val="00AF07A6"/>
    <w:rsid w:val="00AF117D"/>
    <w:rsid w:val="00AF1CAD"/>
    <w:rsid w:val="00AF1F65"/>
    <w:rsid w:val="00AF2137"/>
    <w:rsid w:val="00AF2528"/>
    <w:rsid w:val="00AF2A43"/>
    <w:rsid w:val="00AF2C83"/>
    <w:rsid w:val="00AF515A"/>
    <w:rsid w:val="00AF66A1"/>
    <w:rsid w:val="00AF734C"/>
    <w:rsid w:val="00AF7902"/>
    <w:rsid w:val="00B0061A"/>
    <w:rsid w:val="00B03EE2"/>
    <w:rsid w:val="00B04555"/>
    <w:rsid w:val="00B0491B"/>
    <w:rsid w:val="00B04975"/>
    <w:rsid w:val="00B05731"/>
    <w:rsid w:val="00B07F21"/>
    <w:rsid w:val="00B1037B"/>
    <w:rsid w:val="00B11532"/>
    <w:rsid w:val="00B11EC3"/>
    <w:rsid w:val="00B12962"/>
    <w:rsid w:val="00B13564"/>
    <w:rsid w:val="00B13F6E"/>
    <w:rsid w:val="00B1460D"/>
    <w:rsid w:val="00B14F19"/>
    <w:rsid w:val="00B14FD9"/>
    <w:rsid w:val="00B1559F"/>
    <w:rsid w:val="00B16EA5"/>
    <w:rsid w:val="00B20C6E"/>
    <w:rsid w:val="00B21682"/>
    <w:rsid w:val="00B22E73"/>
    <w:rsid w:val="00B235DC"/>
    <w:rsid w:val="00B23A90"/>
    <w:rsid w:val="00B23DBE"/>
    <w:rsid w:val="00B24279"/>
    <w:rsid w:val="00B244FC"/>
    <w:rsid w:val="00B25D26"/>
    <w:rsid w:val="00B25EBD"/>
    <w:rsid w:val="00B26800"/>
    <w:rsid w:val="00B2687C"/>
    <w:rsid w:val="00B268CC"/>
    <w:rsid w:val="00B30895"/>
    <w:rsid w:val="00B310F0"/>
    <w:rsid w:val="00B315AF"/>
    <w:rsid w:val="00B31B92"/>
    <w:rsid w:val="00B32154"/>
    <w:rsid w:val="00B34FD5"/>
    <w:rsid w:val="00B36C48"/>
    <w:rsid w:val="00B37BA2"/>
    <w:rsid w:val="00B4100E"/>
    <w:rsid w:val="00B4146C"/>
    <w:rsid w:val="00B45117"/>
    <w:rsid w:val="00B45EF5"/>
    <w:rsid w:val="00B47483"/>
    <w:rsid w:val="00B47B9C"/>
    <w:rsid w:val="00B505D3"/>
    <w:rsid w:val="00B50A5D"/>
    <w:rsid w:val="00B5304C"/>
    <w:rsid w:val="00B5570C"/>
    <w:rsid w:val="00B557C7"/>
    <w:rsid w:val="00B56B01"/>
    <w:rsid w:val="00B57512"/>
    <w:rsid w:val="00B60937"/>
    <w:rsid w:val="00B61298"/>
    <w:rsid w:val="00B62317"/>
    <w:rsid w:val="00B63E49"/>
    <w:rsid w:val="00B64590"/>
    <w:rsid w:val="00B6459B"/>
    <w:rsid w:val="00B65BA4"/>
    <w:rsid w:val="00B67BA8"/>
    <w:rsid w:val="00B725B4"/>
    <w:rsid w:val="00B72EEC"/>
    <w:rsid w:val="00B72FA6"/>
    <w:rsid w:val="00B72FB0"/>
    <w:rsid w:val="00B73DC7"/>
    <w:rsid w:val="00B74EF4"/>
    <w:rsid w:val="00B763DD"/>
    <w:rsid w:val="00B768D4"/>
    <w:rsid w:val="00B77C82"/>
    <w:rsid w:val="00B77FA6"/>
    <w:rsid w:val="00B802C5"/>
    <w:rsid w:val="00B80F27"/>
    <w:rsid w:val="00B81BBC"/>
    <w:rsid w:val="00B82459"/>
    <w:rsid w:val="00B84A33"/>
    <w:rsid w:val="00B84AE1"/>
    <w:rsid w:val="00B87049"/>
    <w:rsid w:val="00B87DD3"/>
    <w:rsid w:val="00B90110"/>
    <w:rsid w:val="00B907F6"/>
    <w:rsid w:val="00B90CDD"/>
    <w:rsid w:val="00B93942"/>
    <w:rsid w:val="00B93F2F"/>
    <w:rsid w:val="00B94F58"/>
    <w:rsid w:val="00B95AE7"/>
    <w:rsid w:val="00B9609B"/>
    <w:rsid w:val="00BA07BE"/>
    <w:rsid w:val="00BA0A56"/>
    <w:rsid w:val="00BA40BE"/>
    <w:rsid w:val="00BA422F"/>
    <w:rsid w:val="00BA480C"/>
    <w:rsid w:val="00BA74D6"/>
    <w:rsid w:val="00BB0AAF"/>
    <w:rsid w:val="00BB213E"/>
    <w:rsid w:val="00BB38EF"/>
    <w:rsid w:val="00BB4CBB"/>
    <w:rsid w:val="00BB5DAF"/>
    <w:rsid w:val="00BB7FAC"/>
    <w:rsid w:val="00BC0542"/>
    <w:rsid w:val="00BC1B45"/>
    <w:rsid w:val="00BC27B4"/>
    <w:rsid w:val="00BC5114"/>
    <w:rsid w:val="00BC528A"/>
    <w:rsid w:val="00BC6705"/>
    <w:rsid w:val="00BD1BFC"/>
    <w:rsid w:val="00BD448A"/>
    <w:rsid w:val="00BE21E1"/>
    <w:rsid w:val="00BE2702"/>
    <w:rsid w:val="00BE5446"/>
    <w:rsid w:val="00BE5EEE"/>
    <w:rsid w:val="00BF0176"/>
    <w:rsid w:val="00BF01C2"/>
    <w:rsid w:val="00BF1629"/>
    <w:rsid w:val="00BF338B"/>
    <w:rsid w:val="00BF3AEA"/>
    <w:rsid w:val="00BF51A9"/>
    <w:rsid w:val="00C00D1E"/>
    <w:rsid w:val="00C05CE9"/>
    <w:rsid w:val="00C10252"/>
    <w:rsid w:val="00C11AAD"/>
    <w:rsid w:val="00C13752"/>
    <w:rsid w:val="00C14A8F"/>
    <w:rsid w:val="00C179AA"/>
    <w:rsid w:val="00C2093E"/>
    <w:rsid w:val="00C220D7"/>
    <w:rsid w:val="00C2367D"/>
    <w:rsid w:val="00C23D9A"/>
    <w:rsid w:val="00C245C7"/>
    <w:rsid w:val="00C252AD"/>
    <w:rsid w:val="00C25E42"/>
    <w:rsid w:val="00C27554"/>
    <w:rsid w:val="00C275D2"/>
    <w:rsid w:val="00C27F5E"/>
    <w:rsid w:val="00C30F59"/>
    <w:rsid w:val="00C311A6"/>
    <w:rsid w:val="00C31492"/>
    <w:rsid w:val="00C319B5"/>
    <w:rsid w:val="00C4052B"/>
    <w:rsid w:val="00C41E21"/>
    <w:rsid w:val="00C42E8B"/>
    <w:rsid w:val="00C4398C"/>
    <w:rsid w:val="00C44578"/>
    <w:rsid w:val="00C44AEA"/>
    <w:rsid w:val="00C44CCC"/>
    <w:rsid w:val="00C45089"/>
    <w:rsid w:val="00C46C45"/>
    <w:rsid w:val="00C472AE"/>
    <w:rsid w:val="00C50883"/>
    <w:rsid w:val="00C508FA"/>
    <w:rsid w:val="00C53195"/>
    <w:rsid w:val="00C54DA3"/>
    <w:rsid w:val="00C54E4B"/>
    <w:rsid w:val="00C568D2"/>
    <w:rsid w:val="00C607D9"/>
    <w:rsid w:val="00C60ADC"/>
    <w:rsid w:val="00C641EA"/>
    <w:rsid w:val="00C64D22"/>
    <w:rsid w:val="00C64D38"/>
    <w:rsid w:val="00C6648A"/>
    <w:rsid w:val="00C66534"/>
    <w:rsid w:val="00C667A6"/>
    <w:rsid w:val="00C67AC0"/>
    <w:rsid w:val="00C72551"/>
    <w:rsid w:val="00C730CF"/>
    <w:rsid w:val="00C73962"/>
    <w:rsid w:val="00C748B4"/>
    <w:rsid w:val="00C75C88"/>
    <w:rsid w:val="00C76C56"/>
    <w:rsid w:val="00C76CC8"/>
    <w:rsid w:val="00C80080"/>
    <w:rsid w:val="00C80BEF"/>
    <w:rsid w:val="00C819C2"/>
    <w:rsid w:val="00C8336A"/>
    <w:rsid w:val="00C87C39"/>
    <w:rsid w:val="00C87D17"/>
    <w:rsid w:val="00C90E46"/>
    <w:rsid w:val="00C91372"/>
    <w:rsid w:val="00C91433"/>
    <w:rsid w:val="00C9325C"/>
    <w:rsid w:val="00C935D5"/>
    <w:rsid w:val="00C93BC4"/>
    <w:rsid w:val="00C9552D"/>
    <w:rsid w:val="00C95A1C"/>
    <w:rsid w:val="00C95D48"/>
    <w:rsid w:val="00C96936"/>
    <w:rsid w:val="00CA09C3"/>
    <w:rsid w:val="00CA1645"/>
    <w:rsid w:val="00CA22AB"/>
    <w:rsid w:val="00CA3E28"/>
    <w:rsid w:val="00CA4994"/>
    <w:rsid w:val="00CA5E4E"/>
    <w:rsid w:val="00CA67B9"/>
    <w:rsid w:val="00CB15B1"/>
    <w:rsid w:val="00CB216D"/>
    <w:rsid w:val="00CB44B1"/>
    <w:rsid w:val="00CB4A52"/>
    <w:rsid w:val="00CB4E87"/>
    <w:rsid w:val="00CB5664"/>
    <w:rsid w:val="00CB5778"/>
    <w:rsid w:val="00CB6721"/>
    <w:rsid w:val="00CB71FA"/>
    <w:rsid w:val="00CC1C8C"/>
    <w:rsid w:val="00CC3B26"/>
    <w:rsid w:val="00CC604F"/>
    <w:rsid w:val="00CC6E3E"/>
    <w:rsid w:val="00CC74B1"/>
    <w:rsid w:val="00CD2441"/>
    <w:rsid w:val="00CD5551"/>
    <w:rsid w:val="00CD74F4"/>
    <w:rsid w:val="00CE0BE0"/>
    <w:rsid w:val="00CE1516"/>
    <w:rsid w:val="00CE1F09"/>
    <w:rsid w:val="00CE4557"/>
    <w:rsid w:val="00CE7D6B"/>
    <w:rsid w:val="00CF0F6F"/>
    <w:rsid w:val="00CF26C1"/>
    <w:rsid w:val="00CF280A"/>
    <w:rsid w:val="00CF353D"/>
    <w:rsid w:val="00CF3EBE"/>
    <w:rsid w:val="00CF4EA7"/>
    <w:rsid w:val="00CF5A99"/>
    <w:rsid w:val="00CF76C7"/>
    <w:rsid w:val="00CF79B9"/>
    <w:rsid w:val="00D010C7"/>
    <w:rsid w:val="00D0138F"/>
    <w:rsid w:val="00D01EDF"/>
    <w:rsid w:val="00D01EF1"/>
    <w:rsid w:val="00D02BAD"/>
    <w:rsid w:val="00D02D7F"/>
    <w:rsid w:val="00D0347D"/>
    <w:rsid w:val="00D0392E"/>
    <w:rsid w:val="00D03BC6"/>
    <w:rsid w:val="00D0541A"/>
    <w:rsid w:val="00D05DE1"/>
    <w:rsid w:val="00D0657B"/>
    <w:rsid w:val="00D110A7"/>
    <w:rsid w:val="00D11305"/>
    <w:rsid w:val="00D1566C"/>
    <w:rsid w:val="00D15EDE"/>
    <w:rsid w:val="00D16428"/>
    <w:rsid w:val="00D17F1A"/>
    <w:rsid w:val="00D205F2"/>
    <w:rsid w:val="00D2344A"/>
    <w:rsid w:val="00D24023"/>
    <w:rsid w:val="00D24847"/>
    <w:rsid w:val="00D25446"/>
    <w:rsid w:val="00D26698"/>
    <w:rsid w:val="00D30D95"/>
    <w:rsid w:val="00D32C59"/>
    <w:rsid w:val="00D3515A"/>
    <w:rsid w:val="00D36CA7"/>
    <w:rsid w:val="00D379D8"/>
    <w:rsid w:val="00D41D36"/>
    <w:rsid w:val="00D41EC7"/>
    <w:rsid w:val="00D42328"/>
    <w:rsid w:val="00D42950"/>
    <w:rsid w:val="00D43246"/>
    <w:rsid w:val="00D451A2"/>
    <w:rsid w:val="00D471DC"/>
    <w:rsid w:val="00D477E3"/>
    <w:rsid w:val="00D50C14"/>
    <w:rsid w:val="00D53A25"/>
    <w:rsid w:val="00D54792"/>
    <w:rsid w:val="00D56C8D"/>
    <w:rsid w:val="00D56E5E"/>
    <w:rsid w:val="00D57D5A"/>
    <w:rsid w:val="00D61DB4"/>
    <w:rsid w:val="00D64093"/>
    <w:rsid w:val="00D6538A"/>
    <w:rsid w:val="00D65498"/>
    <w:rsid w:val="00D66AFC"/>
    <w:rsid w:val="00D6700B"/>
    <w:rsid w:val="00D67397"/>
    <w:rsid w:val="00D71DB6"/>
    <w:rsid w:val="00D74AF3"/>
    <w:rsid w:val="00D7550B"/>
    <w:rsid w:val="00D817DA"/>
    <w:rsid w:val="00D84D54"/>
    <w:rsid w:val="00D85E66"/>
    <w:rsid w:val="00D86C3F"/>
    <w:rsid w:val="00D90921"/>
    <w:rsid w:val="00D91272"/>
    <w:rsid w:val="00D91BCB"/>
    <w:rsid w:val="00D92ADC"/>
    <w:rsid w:val="00D966CC"/>
    <w:rsid w:val="00DA078E"/>
    <w:rsid w:val="00DA2BFC"/>
    <w:rsid w:val="00DA3B8E"/>
    <w:rsid w:val="00DA5E60"/>
    <w:rsid w:val="00DA6B7F"/>
    <w:rsid w:val="00DB1641"/>
    <w:rsid w:val="00DB5542"/>
    <w:rsid w:val="00DC1E64"/>
    <w:rsid w:val="00DC2D80"/>
    <w:rsid w:val="00DC490B"/>
    <w:rsid w:val="00DC5959"/>
    <w:rsid w:val="00DC7FA4"/>
    <w:rsid w:val="00DD0067"/>
    <w:rsid w:val="00DD02AB"/>
    <w:rsid w:val="00DD0F58"/>
    <w:rsid w:val="00DD3D47"/>
    <w:rsid w:val="00DD5658"/>
    <w:rsid w:val="00DE0741"/>
    <w:rsid w:val="00DE07A2"/>
    <w:rsid w:val="00DE0BD8"/>
    <w:rsid w:val="00DE28CC"/>
    <w:rsid w:val="00DE5776"/>
    <w:rsid w:val="00DE6328"/>
    <w:rsid w:val="00DE70C0"/>
    <w:rsid w:val="00DF0447"/>
    <w:rsid w:val="00DF07B4"/>
    <w:rsid w:val="00DF40B0"/>
    <w:rsid w:val="00DF56FA"/>
    <w:rsid w:val="00DF7E10"/>
    <w:rsid w:val="00E0296E"/>
    <w:rsid w:val="00E02B31"/>
    <w:rsid w:val="00E03315"/>
    <w:rsid w:val="00E036D0"/>
    <w:rsid w:val="00E04B02"/>
    <w:rsid w:val="00E051FB"/>
    <w:rsid w:val="00E0614A"/>
    <w:rsid w:val="00E10BBA"/>
    <w:rsid w:val="00E10D58"/>
    <w:rsid w:val="00E110DF"/>
    <w:rsid w:val="00E13CF5"/>
    <w:rsid w:val="00E13FC2"/>
    <w:rsid w:val="00E17426"/>
    <w:rsid w:val="00E20AB4"/>
    <w:rsid w:val="00E229CA"/>
    <w:rsid w:val="00E24F5A"/>
    <w:rsid w:val="00E253F8"/>
    <w:rsid w:val="00E27C2B"/>
    <w:rsid w:val="00E30406"/>
    <w:rsid w:val="00E32AD9"/>
    <w:rsid w:val="00E32F1B"/>
    <w:rsid w:val="00E33147"/>
    <w:rsid w:val="00E3327D"/>
    <w:rsid w:val="00E338A8"/>
    <w:rsid w:val="00E34DDE"/>
    <w:rsid w:val="00E35A49"/>
    <w:rsid w:val="00E3797B"/>
    <w:rsid w:val="00E37CA4"/>
    <w:rsid w:val="00E40739"/>
    <w:rsid w:val="00E427BF"/>
    <w:rsid w:val="00E42D89"/>
    <w:rsid w:val="00E43828"/>
    <w:rsid w:val="00E43A8B"/>
    <w:rsid w:val="00E444C6"/>
    <w:rsid w:val="00E45911"/>
    <w:rsid w:val="00E463C0"/>
    <w:rsid w:val="00E46416"/>
    <w:rsid w:val="00E46CB2"/>
    <w:rsid w:val="00E473C1"/>
    <w:rsid w:val="00E47D4D"/>
    <w:rsid w:val="00E505AD"/>
    <w:rsid w:val="00E510B1"/>
    <w:rsid w:val="00E5277E"/>
    <w:rsid w:val="00E53797"/>
    <w:rsid w:val="00E53ED7"/>
    <w:rsid w:val="00E56092"/>
    <w:rsid w:val="00E5637C"/>
    <w:rsid w:val="00E60867"/>
    <w:rsid w:val="00E612E8"/>
    <w:rsid w:val="00E62FE5"/>
    <w:rsid w:val="00E63409"/>
    <w:rsid w:val="00E63E89"/>
    <w:rsid w:val="00E640FE"/>
    <w:rsid w:val="00E65179"/>
    <w:rsid w:val="00E65D59"/>
    <w:rsid w:val="00E70052"/>
    <w:rsid w:val="00E72F55"/>
    <w:rsid w:val="00E7364B"/>
    <w:rsid w:val="00E73C2F"/>
    <w:rsid w:val="00E752CC"/>
    <w:rsid w:val="00E759B0"/>
    <w:rsid w:val="00E7609E"/>
    <w:rsid w:val="00E77471"/>
    <w:rsid w:val="00E805DF"/>
    <w:rsid w:val="00E80D48"/>
    <w:rsid w:val="00E82316"/>
    <w:rsid w:val="00E82D2D"/>
    <w:rsid w:val="00E844DB"/>
    <w:rsid w:val="00E845A9"/>
    <w:rsid w:val="00E8588C"/>
    <w:rsid w:val="00E86792"/>
    <w:rsid w:val="00E86D0A"/>
    <w:rsid w:val="00E86E27"/>
    <w:rsid w:val="00E87649"/>
    <w:rsid w:val="00E8773B"/>
    <w:rsid w:val="00E90C25"/>
    <w:rsid w:val="00E957D6"/>
    <w:rsid w:val="00E95A10"/>
    <w:rsid w:val="00E97600"/>
    <w:rsid w:val="00E97685"/>
    <w:rsid w:val="00E97C72"/>
    <w:rsid w:val="00EA0A23"/>
    <w:rsid w:val="00EA165B"/>
    <w:rsid w:val="00EA1935"/>
    <w:rsid w:val="00EA559E"/>
    <w:rsid w:val="00EA5FD4"/>
    <w:rsid w:val="00EB4E8B"/>
    <w:rsid w:val="00EB50C3"/>
    <w:rsid w:val="00EB55E1"/>
    <w:rsid w:val="00EB6641"/>
    <w:rsid w:val="00EB6F58"/>
    <w:rsid w:val="00EB7DC7"/>
    <w:rsid w:val="00EC082F"/>
    <w:rsid w:val="00EC3431"/>
    <w:rsid w:val="00EC5AA2"/>
    <w:rsid w:val="00EC7756"/>
    <w:rsid w:val="00ED1D16"/>
    <w:rsid w:val="00ED2EAB"/>
    <w:rsid w:val="00ED38D5"/>
    <w:rsid w:val="00ED418C"/>
    <w:rsid w:val="00ED5097"/>
    <w:rsid w:val="00ED5315"/>
    <w:rsid w:val="00ED7495"/>
    <w:rsid w:val="00ED7AC6"/>
    <w:rsid w:val="00ED7C71"/>
    <w:rsid w:val="00ED7DB7"/>
    <w:rsid w:val="00EE0CE5"/>
    <w:rsid w:val="00EE22B7"/>
    <w:rsid w:val="00EE2953"/>
    <w:rsid w:val="00EE42C2"/>
    <w:rsid w:val="00EE5630"/>
    <w:rsid w:val="00EE592E"/>
    <w:rsid w:val="00EE746D"/>
    <w:rsid w:val="00EF0084"/>
    <w:rsid w:val="00EF20F7"/>
    <w:rsid w:val="00EF2549"/>
    <w:rsid w:val="00EF426D"/>
    <w:rsid w:val="00EF65AE"/>
    <w:rsid w:val="00EF7FB1"/>
    <w:rsid w:val="00F00666"/>
    <w:rsid w:val="00F02AA8"/>
    <w:rsid w:val="00F03A4F"/>
    <w:rsid w:val="00F042EE"/>
    <w:rsid w:val="00F05188"/>
    <w:rsid w:val="00F05AEB"/>
    <w:rsid w:val="00F07C86"/>
    <w:rsid w:val="00F10467"/>
    <w:rsid w:val="00F1181B"/>
    <w:rsid w:val="00F119FE"/>
    <w:rsid w:val="00F12949"/>
    <w:rsid w:val="00F12F8A"/>
    <w:rsid w:val="00F13587"/>
    <w:rsid w:val="00F15F93"/>
    <w:rsid w:val="00F17799"/>
    <w:rsid w:val="00F17B9C"/>
    <w:rsid w:val="00F22BE2"/>
    <w:rsid w:val="00F23BF2"/>
    <w:rsid w:val="00F25270"/>
    <w:rsid w:val="00F30626"/>
    <w:rsid w:val="00F316A4"/>
    <w:rsid w:val="00F32038"/>
    <w:rsid w:val="00F33197"/>
    <w:rsid w:val="00F3521D"/>
    <w:rsid w:val="00F370A7"/>
    <w:rsid w:val="00F40494"/>
    <w:rsid w:val="00F40AAE"/>
    <w:rsid w:val="00F4209A"/>
    <w:rsid w:val="00F422AC"/>
    <w:rsid w:val="00F42D5F"/>
    <w:rsid w:val="00F45239"/>
    <w:rsid w:val="00F45321"/>
    <w:rsid w:val="00F459A2"/>
    <w:rsid w:val="00F4671D"/>
    <w:rsid w:val="00F47D84"/>
    <w:rsid w:val="00F47F03"/>
    <w:rsid w:val="00F54E2D"/>
    <w:rsid w:val="00F56D61"/>
    <w:rsid w:val="00F61B39"/>
    <w:rsid w:val="00F61BC0"/>
    <w:rsid w:val="00F65860"/>
    <w:rsid w:val="00F66177"/>
    <w:rsid w:val="00F66D7F"/>
    <w:rsid w:val="00F702D1"/>
    <w:rsid w:val="00F71F75"/>
    <w:rsid w:val="00F742E0"/>
    <w:rsid w:val="00F75369"/>
    <w:rsid w:val="00F754CB"/>
    <w:rsid w:val="00F77BD0"/>
    <w:rsid w:val="00F803A7"/>
    <w:rsid w:val="00F82896"/>
    <w:rsid w:val="00F850B2"/>
    <w:rsid w:val="00F87BC5"/>
    <w:rsid w:val="00F90C9B"/>
    <w:rsid w:val="00F911A8"/>
    <w:rsid w:val="00F91F38"/>
    <w:rsid w:val="00F9334D"/>
    <w:rsid w:val="00F935A6"/>
    <w:rsid w:val="00F93BE0"/>
    <w:rsid w:val="00F95B12"/>
    <w:rsid w:val="00F97005"/>
    <w:rsid w:val="00F970BA"/>
    <w:rsid w:val="00FA22CC"/>
    <w:rsid w:val="00FA2949"/>
    <w:rsid w:val="00FA2CA3"/>
    <w:rsid w:val="00FA34A9"/>
    <w:rsid w:val="00FA3A45"/>
    <w:rsid w:val="00FA4195"/>
    <w:rsid w:val="00FA64F8"/>
    <w:rsid w:val="00FA6888"/>
    <w:rsid w:val="00FA6926"/>
    <w:rsid w:val="00FA6977"/>
    <w:rsid w:val="00FA7DD3"/>
    <w:rsid w:val="00FB042E"/>
    <w:rsid w:val="00FB109E"/>
    <w:rsid w:val="00FB1FAA"/>
    <w:rsid w:val="00FB22AF"/>
    <w:rsid w:val="00FB22C3"/>
    <w:rsid w:val="00FB3A94"/>
    <w:rsid w:val="00FB4A24"/>
    <w:rsid w:val="00FB554B"/>
    <w:rsid w:val="00FC0061"/>
    <w:rsid w:val="00FC3F73"/>
    <w:rsid w:val="00FC5564"/>
    <w:rsid w:val="00FC5928"/>
    <w:rsid w:val="00FD1148"/>
    <w:rsid w:val="00FD1264"/>
    <w:rsid w:val="00FF1564"/>
    <w:rsid w:val="00FF18C0"/>
    <w:rsid w:val="00FF24C9"/>
    <w:rsid w:val="00FF2697"/>
    <w:rsid w:val="00FF50BA"/>
    <w:rsid w:val="00FF5543"/>
    <w:rsid w:val="00FF5D64"/>
    <w:rsid w:val="00FF7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52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4748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47483"/>
    <w:pPr>
      <w:tabs>
        <w:tab w:val="center" w:pos="4320"/>
        <w:tab w:val="right" w:pos="8640"/>
      </w:tabs>
    </w:pPr>
  </w:style>
  <w:style w:type="character" w:customStyle="1" w:styleId="FooterChar">
    <w:name w:val="Footer Char"/>
    <w:basedOn w:val="DefaultParagraphFont"/>
    <w:link w:val="Footer"/>
    <w:uiPriority w:val="99"/>
    <w:rsid w:val="00B47483"/>
    <w:rPr>
      <w:rFonts w:ascii="Times New Roman" w:eastAsia="Arial Unicode MS" w:hAnsi="Arial Unicode MS" w:cs="Arial Unicode MS"/>
      <w:color w:val="000000"/>
      <w:sz w:val="24"/>
      <w:szCs w:val="24"/>
      <w:u w:color="000000"/>
      <w:bdr w:val="nil"/>
    </w:rPr>
  </w:style>
  <w:style w:type="paragraph" w:styleId="NormalWeb">
    <w:name w:val="Normal (Web)"/>
    <w:basedOn w:val="Normal"/>
    <w:uiPriority w:val="99"/>
    <w:semiHidden/>
    <w:unhideWhenUsed/>
    <w:rsid w:val="008D60F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HAnsi" w:hAnsi="Times" w:cs="Times New Roman"/>
      <w:color w:val="auto"/>
      <w:sz w:val="20"/>
      <w:szCs w:val="20"/>
      <w:bdr w:val="none" w:sz="0" w:space="0" w:color="auto"/>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4748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47483"/>
    <w:pPr>
      <w:tabs>
        <w:tab w:val="center" w:pos="4320"/>
        <w:tab w:val="right" w:pos="8640"/>
      </w:tabs>
    </w:pPr>
  </w:style>
  <w:style w:type="character" w:customStyle="1" w:styleId="FooterChar">
    <w:name w:val="Footer Char"/>
    <w:basedOn w:val="DefaultParagraphFont"/>
    <w:link w:val="Footer"/>
    <w:uiPriority w:val="99"/>
    <w:rsid w:val="00B47483"/>
    <w:rPr>
      <w:rFonts w:ascii="Times New Roman" w:eastAsia="Arial Unicode MS" w:hAnsi="Arial Unicode MS" w:cs="Arial Unicode MS"/>
      <w:color w:val="000000"/>
      <w:sz w:val="24"/>
      <w:szCs w:val="24"/>
      <w:u w:color="000000"/>
      <w:bdr w:val="nil"/>
    </w:rPr>
  </w:style>
  <w:style w:type="paragraph" w:styleId="NormalWeb">
    <w:name w:val="Normal (Web)"/>
    <w:basedOn w:val="Normal"/>
    <w:uiPriority w:val="99"/>
    <w:semiHidden/>
    <w:unhideWhenUsed/>
    <w:rsid w:val="008D60F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HAnsi" w:hAnsi="Times" w:cs="Times New Roman"/>
      <w:color w:val="auto"/>
      <w:sz w:val="20"/>
      <w:szCs w:val="20"/>
      <w:bdr w:val="none" w:sz="0" w:space="0" w:color="auto"/>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259505">
      <w:bodyDiv w:val="1"/>
      <w:marLeft w:val="0"/>
      <w:marRight w:val="0"/>
      <w:marTop w:val="0"/>
      <w:marBottom w:val="0"/>
      <w:divBdr>
        <w:top w:val="none" w:sz="0" w:space="0" w:color="auto"/>
        <w:left w:val="none" w:sz="0" w:space="0" w:color="auto"/>
        <w:bottom w:val="none" w:sz="0" w:space="0" w:color="auto"/>
        <w:right w:val="none" w:sz="0" w:space="0" w:color="auto"/>
      </w:divBdr>
      <w:divsChild>
        <w:div w:id="1008486262">
          <w:marLeft w:val="0"/>
          <w:marRight w:val="0"/>
          <w:marTop w:val="0"/>
          <w:marBottom w:val="0"/>
          <w:divBdr>
            <w:top w:val="none" w:sz="0" w:space="0" w:color="auto"/>
            <w:left w:val="none" w:sz="0" w:space="0" w:color="auto"/>
            <w:bottom w:val="none" w:sz="0" w:space="0" w:color="auto"/>
            <w:right w:val="none" w:sz="0" w:space="0" w:color="auto"/>
          </w:divBdr>
          <w:divsChild>
            <w:div w:id="1852447147">
              <w:marLeft w:val="0"/>
              <w:marRight w:val="0"/>
              <w:marTop w:val="0"/>
              <w:marBottom w:val="0"/>
              <w:divBdr>
                <w:top w:val="none" w:sz="0" w:space="0" w:color="auto"/>
                <w:left w:val="none" w:sz="0" w:space="0" w:color="auto"/>
                <w:bottom w:val="none" w:sz="0" w:space="0" w:color="auto"/>
                <w:right w:val="none" w:sz="0" w:space="0" w:color="auto"/>
              </w:divBdr>
              <w:divsChild>
                <w:div w:id="1018198257">
                  <w:marLeft w:val="0"/>
                  <w:marRight w:val="0"/>
                  <w:marTop w:val="0"/>
                  <w:marBottom w:val="0"/>
                  <w:divBdr>
                    <w:top w:val="none" w:sz="0" w:space="0" w:color="auto"/>
                    <w:left w:val="none" w:sz="0" w:space="0" w:color="auto"/>
                    <w:bottom w:val="none" w:sz="0" w:space="0" w:color="auto"/>
                    <w:right w:val="none" w:sz="0" w:space="0" w:color="auto"/>
                  </w:divBdr>
                  <w:divsChild>
                    <w:div w:id="1665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869</Words>
  <Characters>4956</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 Khalili</dc:creator>
  <cp:lastModifiedBy>test</cp:lastModifiedBy>
  <cp:revision>3</cp:revision>
  <dcterms:created xsi:type="dcterms:W3CDTF">2016-05-08T22:52:00Z</dcterms:created>
  <dcterms:modified xsi:type="dcterms:W3CDTF">2016-05-08T23:17:00Z</dcterms:modified>
</cp:coreProperties>
</file>