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CE" w:rsidRPr="00C902C6" w:rsidRDefault="00B425CE" w:rsidP="004064E2">
      <w:pPr>
        <w:spacing w:line="480" w:lineRule="auto"/>
        <w:jc w:val="both"/>
        <w:rPr>
          <w:rFonts w:ascii="Arial" w:hAnsi="Arial" w:cs="Arial"/>
          <w:b/>
        </w:rPr>
      </w:pPr>
      <w:r>
        <w:rPr>
          <w:rFonts w:ascii="Arial" w:hAnsi="Arial" w:cs="Arial"/>
          <w:b/>
        </w:rPr>
        <w:t>Supplementary Figure Legends</w:t>
      </w:r>
    </w:p>
    <w:p w:rsidR="004064E2" w:rsidRPr="00C902C6" w:rsidRDefault="009477F6" w:rsidP="004064E2">
      <w:pPr>
        <w:spacing w:line="480" w:lineRule="auto"/>
        <w:jc w:val="both"/>
        <w:rPr>
          <w:rFonts w:ascii="Arial" w:hAnsi="Arial" w:cs="Arial"/>
        </w:rPr>
      </w:pPr>
      <w:r>
        <w:rPr>
          <w:rFonts w:ascii="Arial" w:hAnsi="Arial" w:cs="Arial"/>
          <w:b/>
        </w:rPr>
        <w:t xml:space="preserve">Supplementary </w:t>
      </w:r>
      <w:r w:rsidR="004B4815">
        <w:rPr>
          <w:rFonts w:ascii="Arial" w:hAnsi="Arial" w:cs="Arial"/>
          <w:b/>
        </w:rPr>
        <w:t xml:space="preserve">Figure </w:t>
      </w:r>
      <w:r w:rsidR="004064E2" w:rsidRPr="00C902C6">
        <w:rPr>
          <w:rFonts w:ascii="Arial" w:hAnsi="Arial" w:cs="Arial"/>
          <w:b/>
        </w:rPr>
        <w:t>1.</w:t>
      </w:r>
      <w:r w:rsidR="004064E2" w:rsidRPr="00C902C6">
        <w:rPr>
          <w:rFonts w:ascii="Arial" w:hAnsi="Arial" w:cs="Arial"/>
        </w:rPr>
        <w:t xml:space="preserve">  </w:t>
      </w:r>
      <w:r w:rsidR="004064E2" w:rsidRPr="00C902C6">
        <w:rPr>
          <w:rFonts w:ascii="Arial" w:hAnsi="Arial" w:cs="Arial"/>
          <w:b/>
        </w:rPr>
        <w:t>Primary screen of CADD-derived compounds</w:t>
      </w:r>
      <w:r w:rsidR="004064E2" w:rsidRPr="00C902C6">
        <w:rPr>
          <w:rFonts w:ascii="Arial" w:hAnsi="Arial" w:cs="Arial"/>
        </w:rPr>
        <w:t xml:space="preserve">. A. Histogram displaying values of selected compounds expressed as % Positive Control. The red line indicates the 50% activity mark. The shaded area highlights compounds exhibiting more than 97% inhibition and the orange highlighted bar indicates 1-134. B. NTC assay on compounds derived from the 1-134 similarity searching. Data are expressed in raw values as counts/sec. The orange highlighted bar indicates IMR-1 (1-134-83). C. NTC counter-screen to demonstrate specificity. Black shaded bars indicate probe for Maml1, grey shaded bars indicate probe for Notch1, and white bars indicate probe for CSL using specific antibodies for Maml1, Notch1 and CSL, respectively. Orange shaded bar indicates IMR-1 probed for Maml1. </w:t>
      </w:r>
    </w:p>
    <w:p w:rsidR="004064E2" w:rsidRPr="00C902C6" w:rsidRDefault="009477F6" w:rsidP="004064E2">
      <w:pPr>
        <w:spacing w:line="480" w:lineRule="auto"/>
        <w:jc w:val="both"/>
        <w:rPr>
          <w:rFonts w:ascii="Arial" w:hAnsi="Arial" w:cs="Arial"/>
        </w:rPr>
      </w:pPr>
      <w:proofErr w:type="spellStart"/>
      <w:r>
        <w:rPr>
          <w:rFonts w:ascii="Arial" w:hAnsi="Arial" w:cs="Arial"/>
          <w:b/>
        </w:rPr>
        <w:t>Supplemetary</w:t>
      </w:r>
      <w:proofErr w:type="spellEnd"/>
      <w:r>
        <w:rPr>
          <w:rFonts w:ascii="Arial" w:hAnsi="Arial" w:cs="Arial"/>
          <w:b/>
        </w:rPr>
        <w:t xml:space="preserve"> </w:t>
      </w:r>
      <w:r w:rsidR="004064E2" w:rsidRPr="00C902C6">
        <w:rPr>
          <w:rFonts w:ascii="Arial" w:hAnsi="Arial" w:cs="Arial"/>
          <w:b/>
        </w:rPr>
        <w:t xml:space="preserve">Figure 2. IMR-1 inhibits tumor growth. </w:t>
      </w:r>
      <w:r w:rsidR="004064E2" w:rsidRPr="00C902C6">
        <w:rPr>
          <w:rFonts w:ascii="Arial" w:hAnsi="Arial" w:cs="Arial"/>
        </w:rPr>
        <w:t>Graph of OE19 xenograft tumor volumes (in mm</w:t>
      </w:r>
      <w:r w:rsidR="004064E2" w:rsidRPr="00C902C6">
        <w:rPr>
          <w:rFonts w:ascii="Arial" w:hAnsi="Arial" w:cs="Arial"/>
          <w:vertAlign w:val="superscript"/>
        </w:rPr>
        <w:t>3</w:t>
      </w:r>
      <w:r w:rsidR="004064E2" w:rsidRPr="00C902C6">
        <w:rPr>
          <w:rFonts w:ascii="Arial" w:hAnsi="Arial" w:cs="Arial"/>
        </w:rPr>
        <w:t xml:space="preserve">) over time (days) in mice treated with vehicle (DMSO) or IMR-1 (15 mg/kg) administered daily via </w:t>
      </w:r>
      <w:proofErr w:type="spellStart"/>
      <w:r w:rsidR="00E33C2D">
        <w:rPr>
          <w:rFonts w:ascii="Arial" w:hAnsi="Arial" w:cs="Arial"/>
        </w:rPr>
        <w:t>i.p</w:t>
      </w:r>
      <w:proofErr w:type="spellEnd"/>
      <w:r w:rsidR="00E33C2D">
        <w:rPr>
          <w:rFonts w:ascii="Arial" w:hAnsi="Arial" w:cs="Arial"/>
        </w:rPr>
        <w:t>.</w:t>
      </w:r>
      <w:r w:rsidR="004064E2" w:rsidRPr="00C902C6">
        <w:rPr>
          <w:rFonts w:ascii="Arial" w:hAnsi="Arial" w:cs="Arial"/>
        </w:rPr>
        <w:t xml:space="preserve"> injection. Treatment was initiated on day 2 following transplantation of cells and continued until day 28. Data is displayed as average tumor volume (</w:t>
      </w:r>
      <w:r w:rsidR="004064E2" w:rsidRPr="00C902C6">
        <w:rPr>
          <w:rFonts w:ascii="Arial" w:hAnsi="Arial" w:cs="Arial"/>
          <w:i/>
        </w:rPr>
        <w:t>n</w:t>
      </w:r>
      <w:r w:rsidR="004064E2" w:rsidRPr="00C902C6">
        <w:rPr>
          <w:rFonts w:ascii="Arial" w:hAnsi="Arial" w:cs="Arial"/>
        </w:rPr>
        <w:t xml:space="preserve"> = 5) per group and standard error of the mean.</w:t>
      </w:r>
    </w:p>
    <w:p w:rsidR="004064E2" w:rsidRPr="00C902C6" w:rsidRDefault="009477F6" w:rsidP="004064E2">
      <w:pPr>
        <w:spacing w:line="480" w:lineRule="auto"/>
        <w:jc w:val="both"/>
        <w:rPr>
          <w:rFonts w:ascii="Arial" w:hAnsi="Arial" w:cs="Arial"/>
        </w:rPr>
      </w:pPr>
      <w:r>
        <w:rPr>
          <w:rFonts w:ascii="Arial" w:hAnsi="Arial" w:cs="Arial"/>
          <w:b/>
        </w:rPr>
        <w:t xml:space="preserve">Supplementary </w:t>
      </w:r>
      <w:r w:rsidR="004064E2" w:rsidRPr="00C902C6">
        <w:rPr>
          <w:rFonts w:ascii="Arial" w:hAnsi="Arial" w:cs="Arial"/>
          <w:b/>
        </w:rPr>
        <w:t xml:space="preserve">Figure </w:t>
      </w:r>
      <w:bookmarkStart w:id="0" w:name="_GoBack"/>
      <w:bookmarkEnd w:id="0"/>
      <w:r w:rsidR="004064E2" w:rsidRPr="00C902C6">
        <w:rPr>
          <w:rFonts w:ascii="Arial" w:hAnsi="Arial" w:cs="Arial"/>
          <w:b/>
        </w:rPr>
        <w:t xml:space="preserve">3. IMR-1 treatment does not induce weight loss in treated mice. </w:t>
      </w:r>
      <w:r w:rsidR="004064E2" w:rsidRPr="00C902C6">
        <w:rPr>
          <w:rFonts w:ascii="Arial" w:hAnsi="Arial" w:cs="Arial"/>
        </w:rPr>
        <w:t>Graph of mice weight determined during treatment with vehicle (DMSO), IMR</w:t>
      </w:r>
      <w:r w:rsidR="004064E2" w:rsidRPr="00C902C6">
        <w:rPr>
          <w:rFonts w:ascii="Arial" w:hAnsi="Arial" w:cs="Arial"/>
          <w:b/>
        </w:rPr>
        <w:t>-</w:t>
      </w:r>
      <w:r w:rsidR="004064E2" w:rsidRPr="00C902C6">
        <w:rPr>
          <w:rFonts w:ascii="Arial" w:hAnsi="Arial" w:cs="Arial"/>
        </w:rPr>
        <w:t>1 (15 mg/kg) or DAPT (15 mg/kg)</w:t>
      </w:r>
      <w:r w:rsidR="00F5049A">
        <w:rPr>
          <w:rFonts w:ascii="Arial" w:hAnsi="Arial" w:cs="Arial"/>
        </w:rPr>
        <w:t>,</w:t>
      </w:r>
      <w:r w:rsidR="004064E2" w:rsidRPr="00C902C6">
        <w:rPr>
          <w:rFonts w:ascii="Arial" w:hAnsi="Arial" w:cs="Arial"/>
        </w:rPr>
        <w:t xml:space="preserve"> </w:t>
      </w:r>
      <w:r w:rsidR="00F5049A" w:rsidRPr="00C902C6">
        <w:rPr>
          <w:rFonts w:ascii="Arial" w:hAnsi="Arial" w:cs="Arial"/>
        </w:rPr>
        <w:t xml:space="preserve">administered daily via </w:t>
      </w:r>
      <w:proofErr w:type="spellStart"/>
      <w:r w:rsidR="00F5049A">
        <w:rPr>
          <w:rFonts w:ascii="Arial" w:hAnsi="Arial" w:cs="Arial"/>
        </w:rPr>
        <w:t>i.p</w:t>
      </w:r>
      <w:proofErr w:type="spellEnd"/>
      <w:r w:rsidR="00F5049A">
        <w:rPr>
          <w:rFonts w:ascii="Arial" w:hAnsi="Arial" w:cs="Arial"/>
        </w:rPr>
        <w:t>.</w:t>
      </w:r>
      <w:r w:rsidR="00F5049A" w:rsidRPr="00C902C6">
        <w:rPr>
          <w:rFonts w:ascii="Arial" w:hAnsi="Arial" w:cs="Arial"/>
        </w:rPr>
        <w:t xml:space="preserve"> injection </w:t>
      </w:r>
      <w:r w:rsidR="004064E2" w:rsidRPr="00C902C6">
        <w:rPr>
          <w:rFonts w:ascii="Arial" w:hAnsi="Arial" w:cs="Arial"/>
        </w:rPr>
        <w:t>over the course of 24 days</w:t>
      </w:r>
      <w:r w:rsidR="00F5049A">
        <w:rPr>
          <w:rFonts w:ascii="Arial" w:hAnsi="Arial" w:cs="Arial"/>
        </w:rPr>
        <w:t>,</w:t>
      </w:r>
      <w:r w:rsidR="004064E2" w:rsidRPr="00C902C6">
        <w:rPr>
          <w:rFonts w:ascii="Arial" w:hAnsi="Arial" w:cs="Arial"/>
        </w:rPr>
        <w:t xml:space="preserve"> in two patient-derived xenograft tumors: EAC29 (left panel) and EAC47 (right panel). Data is displayed as averages (EAC29, </w:t>
      </w:r>
      <w:r w:rsidR="004064E2" w:rsidRPr="00C902C6">
        <w:rPr>
          <w:rFonts w:ascii="Arial" w:hAnsi="Arial" w:cs="Arial"/>
          <w:i/>
        </w:rPr>
        <w:t>n</w:t>
      </w:r>
      <w:r w:rsidR="004064E2" w:rsidRPr="00C902C6">
        <w:rPr>
          <w:rFonts w:ascii="Arial" w:hAnsi="Arial" w:cs="Arial"/>
        </w:rPr>
        <w:t xml:space="preserve"> = 5, EAC47 </w:t>
      </w:r>
      <w:r w:rsidR="004064E2" w:rsidRPr="00C902C6">
        <w:rPr>
          <w:rFonts w:ascii="Arial" w:hAnsi="Arial" w:cs="Arial"/>
          <w:i/>
        </w:rPr>
        <w:t>n</w:t>
      </w:r>
      <w:r w:rsidR="004064E2" w:rsidRPr="00C902C6">
        <w:rPr>
          <w:rFonts w:ascii="Arial" w:hAnsi="Arial" w:cs="Arial"/>
        </w:rPr>
        <w:t xml:space="preserve"> = 6) and standard error of the mean.</w:t>
      </w:r>
    </w:p>
    <w:p w:rsidR="005C41F7" w:rsidRPr="00C902C6" w:rsidRDefault="005C41F7">
      <w:pPr>
        <w:rPr>
          <w:rFonts w:ascii="Arial" w:hAnsi="Arial" w:cs="Arial"/>
        </w:rPr>
      </w:pPr>
    </w:p>
    <w:sectPr w:rsidR="005C41F7" w:rsidRPr="00C9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E2"/>
    <w:rsid w:val="0001175C"/>
    <w:rsid w:val="00030C52"/>
    <w:rsid w:val="00041A85"/>
    <w:rsid w:val="0004366D"/>
    <w:rsid w:val="00044C45"/>
    <w:rsid w:val="000536F3"/>
    <w:rsid w:val="00054DF0"/>
    <w:rsid w:val="00055E69"/>
    <w:rsid w:val="0006678A"/>
    <w:rsid w:val="00066971"/>
    <w:rsid w:val="0007077E"/>
    <w:rsid w:val="00072872"/>
    <w:rsid w:val="00073C6B"/>
    <w:rsid w:val="000764C9"/>
    <w:rsid w:val="0009264F"/>
    <w:rsid w:val="000B19A9"/>
    <w:rsid w:val="000B35BA"/>
    <w:rsid w:val="000B3632"/>
    <w:rsid w:val="000B4B77"/>
    <w:rsid w:val="000B6071"/>
    <w:rsid w:val="000B77D9"/>
    <w:rsid w:val="000D2D26"/>
    <w:rsid w:val="000F2E27"/>
    <w:rsid w:val="0014133B"/>
    <w:rsid w:val="001417E7"/>
    <w:rsid w:val="00150B0A"/>
    <w:rsid w:val="00152194"/>
    <w:rsid w:val="00157D2E"/>
    <w:rsid w:val="00175D0A"/>
    <w:rsid w:val="00176037"/>
    <w:rsid w:val="001770DF"/>
    <w:rsid w:val="00193F61"/>
    <w:rsid w:val="00196DD2"/>
    <w:rsid w:val="001A0225"/>
    <w:rsid w:val="001A2310"/>
    <w:rsid w:val="001B1259"/>
    <w:rsid w:val="001C771F"/>
    <w:rsid w:val="00200B75"/>
    <w:rsid w:val="002066F8"/>
    <w:rsid w:val="00220A00"/>
    <w:rsid w:val="00227773"/>
    <w:rsid w:val="00230DAD"/>
    <w:rsid w:val="00243FA4"/>
    <w:rsid w:val="00253C95"/>
    <w:rsid w:val="0025687B"/>
    <w:rsid w:val="00256B3A"/>
    <w:rsid w:val="002640DE"/>
    <w:rsid w:val="00273354"/>
    <w:rsid w:val="00286D0E"/>
    <w:rsid w:val="00290E05"/>
    <w:rsid w:val="00292355"/>
    <w:rsid w:val="0029269C"/>
    <w:rsid w:val="00294C88"/>
    <w:rsid w:val="002960CA"/>
    <w:rsid w:val="002964B8"/>
    <w:rsid w:val="002C638F"/>
    <w:rsid w:val="002D2052"/>
    <w:rsid w:val="002E7088"/>
    <w:rsid w:val="002F000B"/>
    <w:rsid w:val="0030431D"/>
    <w:rsid w:val="00306408"/>
    <w:rsid w:val="00310A07"/>
    <w:rsid w:val="00313D9F"/>
    <w:rsid w:val="00334D78"/>
    <w:rsid w:val="00341583"/>
    <w:rsid w:val="00343572"/>
    <w:rsid w:val="003573F9"/>
    <w:rsid w:val="0035771B"/>
    <w:rsid w:val="003756A9"/>
    <w:rsid w:val="00390EBC"/>
    <w:rsid w:val="0039306E"/>
    <w:rsid w:val="003A4320"/>
    <w:rsid w:val="003B0E7B"/>
    <w:rsid w:val="003B20BC"/>
    <w:rsid w:val="003B3DA1"/>
    <w:rsid w:val="003C6CFB"/>
    <w:rsid w:val="003D0CFC"/>
    <w:rsid w:val="003E27ED"/>
    <w:rsid w:val="003E2EB4"/>
    <w:rsid w:val="003E39A9"/>
    <w:rsid w:val="003F0C5D"/>
    <w:rsid w:val="003F1CCA"/>
    <w:rsid w:val="00400C39"/>
    <w:rsid w:val="00402669"/>
    <w:rsid w:val="00404C3C"/>
    <w:rsid w:val="004064E2"/>
    <w:rsid w:val="00412CEB"/>
    <w:rsid w:val="00414E2A"/>
    <w:rsid w:val="00415316"/>
    <w:rsid w:val="00452B23"/>
    <w:rsid w:val="00453AC6"/>
    <w:rsid w:val="0046549D"/>
    <w:rsid w:val="004728B0"/>
    <w:rsid w:val="0048749D"/>
    <w:rsid w:val="00490530"/>
    <w:rsid w:val="00495FDD"/>
    <w:rsid w:val="004971C2"/>
    <w:rsid w:val="004A31DA"/>
    <w:rsid w:val="004B4815"/>
    <w:rsid w:val="004B4E20"/>
    <w:rsid w:val="004D2884"/>
    <w:rsid w:val="004D7687"/>
    <w:rsid w:val="004E13CB"/>
    <w:rsid w:val="004E29E2"/>
    <w:rsid w:val="004E5C9A"/>
    <w:rsid w:val="004F1737"/>
    <w:rsid w:val="00512996"/>
    <w:rsid w:val="00514614"/>
    <w:rsid w:val="005274D3"/>
    <w:rsid w:val="0053187C"/>
    <w:rsid w:val="00537027"/>
    <w:rsid w:val="005409AB"/>
    <w:rsid w:val="005546EA"/>
    <w:rsid w:val="0055629E"/>
    <w:rsid w:val="00561277"/>
    <w:rsid w:val="005801E0"/>
    <w:rsid w:val="00582756"/>
    <w:rsid w:val="00582CE6"/>
    <w:rsid w:val="0058495C"/>
    <w:rsid w:val="005A20E9"/>
    <w:rsid w:val="005A4D5C"/>
    <w:rsid w:val="005B2F55"/>
    <w:rsid w:val="005B382F"/>
    <w:rsid w:val="005C03DD"/>
    <w:rsid w:val="005C4070"/>
    <w:rsid w:val="005C41F7"/>
    <w:rsid w:val="005C6F7B"/>
    <w:rsid w:val="005E09BF"/>
    <w:rsid w:val="005E0E68"/>
    <w:rsid w:val="005E3765"/>
    <w:rsid w:val="00601CB3"/>
    <w:rsid w:val="006145E6"/>
    <w:rsid w:val="00624676"/>
    <w:rsid w:val="006458D0"/>
    <w:rsid w:val="0065628D"/>
    <w:rsid w:val="0067085C"/>
    <w:rsid w:val="00670AB2"/>
    <w:rsid w:val="00676C38"/>
    <w:rsid w:val="0069069B"/>
    <w:rsid w:val="006A39E2"/>
    <w:rsid w:val="006A4CDB"/>
    <w:rsid w:val="006B2750"/>
    <w:rsid w:val="006B2C5E"/>
    <w:rsid w:val="006D32A5"/>
    <w:rsid w:val="006E4F40"/>
    <w:rsid w:val="006F2A2B"/>
    <w:rsid w:val="006F794E"/>
    <w:rsid w:val="00710284"/>
    <w:rsid w:val="00712AC6"/>
    <w:rsid w:val="007317F0"/>
    <w:rsid w:val="00735433"/>
    <w:rsid w:val="00735D4E"/>
    <w:rsid w:val="00761D80"/>
    <w:rsid w:val="007770DA"/>
    <w:rsid w:val="0078152E"/>
    <w:rsid w:val="0078522F"/>
    <w:rsid w:val="00791646"/>
    <w:rsid w:val="007A35D9"/>
    <w:rsid w:val="007A7CE8"/>
    <w:rsid w:val="007B6EA7"/>
    <w:rsid w:val="007B7D40"/>
    <w:rsid w:val="007C45C5"/>
    <w:rsid w:val="007C4D07"/>
    <w:rsid w:val="007D13FD"/>
    <w:rsid w:val="007D1DD4"/>
    <w:rsid w:val="007D360D"/>
    <w:rsid w:val="007E447E"/>
    <w:rsid w:val="007F2569"/>
    <w:rsid w:val="00826EF7"/>
    <w:rsid w:val="00847EA6"/>
    <w:rsid w:val="00856A58"/>
    <w:rsid w:val="00880CD2"/>
    <w:rsid w:val="00883153"/>
    <w:rsid w:val="008831C2"/>
    <w:rsid w:val="008850C6"/>
    <w:rsid w:val="008916B2"/>
    <w:rsid w:val="008A3DEE"/>
    <w:rsid w:val="008B1992"/>
    <w:rsid w:val="008B1FED"/>
    <w:rsid w:val="008C1D10"/>
    <w:rsid w:val="008C2EDE"/>
    <w:rsid w:val="008C34BB"/>
    <w:rsid w:val="008D1518"/>
    <w:rsid w:val="008D2354"/>
    <w:rsid w:val="008D385A"/>
    <w:rsid w:val="008D6330"/>
    <w:rsid w:val="008E262D"/>
    <w:rsid w:val="008F0E80"/>
    <w:rsid w:val="008F6B8C"/>
    <w:rsid w:val="00913B9B"/>
    <w:rsid w:val="00922F33"/>
    <w:rsid w:val="00927756"/>
    <w:rsid w:val="00933E5F"/>
    <w:rsid w:val="009455B5"/>
    <w:rsid w:val="009477F6"/>
    <w:rsid w:val="00964A27"/>
    <w:rsid w:val="00973085"/>
    <w:rsid w:val="009754CF"/>
    <w:rsid w:val="009765C0"/>
    <w:rsid w:val="00984F08"/>
    <w:rsid w:val="00986277"/>
    <w:rsid w:val="00990677"/>
    <w:rsid w:val="00991A44"/>
    <w:rsid w:val="009943EE"/>
    <w:rsid w:val="009960C8"/>
    <w:rsid w:val="00997D7D"/>
    <w:rsid w:val="009A068B"/>
    <w:rsid w:val="009A6010"/>
    <w:rsid w:val="009A72A7"/>
    <w:rsid w:val="009B148F"/>
    <w:rsid w:val="009B4715"/>
    <w:rsid w:val="009C0864"/>
    <w:rsid w:val="009C30FD"/>
    <w:rsid w:val="009D322E"/>
    <w:rsid w:val="009E31E0"/>
    <w:rsid w:val="009F1560"/>
    <w:rsid w:val="00A00070"/>
    <w:rsid w:val="00A07EFD"/>
    <w:rsid w:val="00A25084"/>
    <w:rsid w:val="00A558A4"/>
    <w:rsid w:val="00A5604C"/>
    <w:rsid w:val="00A56E1A"/>
    <w:rsid w:val="00A90008"/>
    <w:rsid w:val="00A916E0"/>
    <w:rsid w:val="00A96F2F"/>
    <w:rsid w:val="00A97FB1"/>
    <w:rsid w:val="00AC3924"/>
    <w:rsid w:val="00AE41B3"/>
    <w:rsid w:val="00AF55C1"/>
    <w:rsid w:val="00AF564C"/>
    <w:rsid w:val="00B2744C"/>
    <w:rsid w:val="00B33EAB"/>
    <w:rsid w:val="00B425CE"/>
    <w:rsid w:val="00B47ED4"/>
    <w:rsid w:val="00B50C79"/>
    <w:rsid w:val="00B53B95"/>
    <w:rsid w:val="00B54917"/>
    <w:rsid w:val="00B6405F"/>
    <w:rsid w:val="00B644DF"/>
    <w:rsid w:val="00B6658F"/>
    <w:rsid w:val="00B737D1"/>
    <w:rsid w:val="00B772FA"/>
    <w:rsid w:val="00B83A40"/>
    <w:rsid w:val="00B91952"/>
    <w:rsid w:val="00B91C72"/>
    <w:rsid w:val="00B94549"/>
    <w:rsid w:val="00B95255"/>
    <w:rsid w:val="00B95FA0"/>
    <w:rsid w:val="00BC1FC5"/>
    <w:rsid w:val="00BC44D4"/>
    <w:rsid w:val="00BC7C38"/>
    <w:rsid w:val="00BE2D16"/>
    <w:rsid w:val="00BE6AF8"/>
    <w:rsid w:val="00BF03CC"/>
    <w:rsid w:val="00BF0EFE"/>
    <w:rsid w:val="00BF3A43"/>
    <w:rsid w:val="00BF7E6B"/>
    <w:rsid w:val="00C00A25"/>
    <w:rsid w:val="00C02103"/>
    <w:rsid w:val="00C3074E"/>
    <w:rsid w:val="00C33580"/>
    <w:rsid w:val="00C36CCB"/>
    <w:rsid w:val="00C60E31"/>
    <w:rsid w:val="00C835C7"/>
    <w:rsid w:val="00C84313"/>
    <w:rsid w:val="00C871CC"/>
    <w:rsid w:val="00C902C6"/>
    <w:rsid w:val="00C93190"/>
    <w:rsid w:val="00CA02DA"/>
    <w:rsid w:val="00CB1A0B"/>
    <w:rsid w:val="00CB2D7A"/>
    <w:rsid w:val="00CC25B3"/>
    <w:rsid w:val="00CC2F76"/>
    <w:rsid w:val="00CD37E1"/>
    <w:rsid w:val="00CE2652"/>
    <w:rsid w:val="00CE7470"/>
    <w:rsid w:val="00CF4F0F"/>
    <w:rsid w:val="00CF5DE1"/>
    <w:rsid w:val="00CF659C"/>
    <w:rsid w:val="00D05117"/>
    <w:rsid w:val="00D21224"/>
    <w:rsid w:val="00D23BB0"/>
    <w:rsid w:val="00D2646B"/>
    <w:rsid w:val="00D26FD9"/>
    <w:rsid w:val="00D30906"/>
    <w:rsid w:val="00D41BA9"/>
    <w:rsid w:val="00D61A2B"/>
    <w:rsid w:val="00D62CE7"/>
    <w:rsid w:val="00D6536F"/>
    <w:rsid w:val="00D6737D"/>
    <w:rsid w:val="00D729C5"/>
    <w:rsid w:val="00D74ABB"/>
    <w:rsid w:val="00D82A00"/>
    <w:rsid w:val="00D83B87"/>
    <w:rsid w:val="00D93EC8"/>
    <w:rsid w:val="00DA16E3"/>
    <w:rsid w:val="00DA2511"/>
    <w:rsid w:val="00DB1D67"/>
    <w:rsid w:val="00DB213A"/>
    <w:rsid w:val="00DB3CB0"/>
    <w:rsid w:val="00DC0CD7"/>
    <w:rsid w:val="00DC19BE"/>
    <w:rsid w:val="00DC5E09"/>
    <w:rsid w:val="00DD256C"/>
    <w:rsid w:val="00DD348B"/>
    <w:rsid w:val="00DF1C2F"/>
    <w:rsid w:val="00DF49E0"/>
    <w:rsid w:val="00DF5D5A"/>
    <w:rsid w:val="00E060B4"/>
    <w:rsid w:val="00E13FA3"/>
    <w:rsid w:val="00E33C2D"/>
    <w:rsid w:val="00E36189"/>
    <w:rsid w:val="00E405CA"/>
    <w:rsid w:val="00E50083"/>
    <w:rsid w:val="00E5373A"/>
    <w:rsid w:val="00E62C64"/>
    <w:rsid w:val="00E7215C"/>
    <w:rsid w:val="00E72FF2"/>
    <w:rsid w:val="00E73613"/>
    <w:rsid w:val="00E7670C"/>
    <w:rsid w:val="00E85844"/>
    <w:rsid w:val="00E974D0"/>
    <w:rsid w:val="00EA7653"/>
    <w:rsid w:val="00EB3A55"/>
    <w:rsid w:val="00EB76B9"/>
    <w:rsid w:val="00EE0D9D"/>
    <w:rsid w:val="00EE20AA"/>
    <w:rsid w:val="00EE683F"/>
    <w:rsid w:val="00EF05DA"/>
    <w:rsid w:val="00EF31E3"/>
    <w:rsid w:val="00EF654E"/>
    <w:rsid w:val="00F02107"/>
    <w:rsid w:val="00F15FF0"/>
    <w:rsid w:val="00F166E2"/>
    <w:rsid w:val="00F261AD"/>
    <w:rsid w:val="00F45411"/>
    <w:rsid w:val="00F5049A"/>
    <w:rsid w:val="00F60C90"/>
    <w:rsid w:val="00F610C6"/>
    <w:rsid w:val="00F61340"/>
    <w:rsid w:val="00F64CE1"/>
    <w:rsid w:val="00F71D19"/>
    <w:rsid w:val="00F80141"/>
    <w:rsid w:val="00F8393E"/>
    <w:rsid w:val="00F9100E"/>
    <w:rsid w:val="00F92E0B"/>
    <w:rsid w:val="00FA3961"/>
    <w:rsid w:val="00FB05BC"/>
    <w:rsid w:val="00FB3C4B"/>
    <w:rsid w:val="00FB3EFA"/>
    <w:rsid w:val="00FB6140"/>
    <w:rsid w:val="00FB726B"/>
    <w:rsid w:val="00FF11D5"/>
    <w:rsid w:val="00F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3AC1-2C73-4F20-8969-FB71006D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Luisana Astudillo</dc:creator>
  <cp:keywords/>
  <dc:description/>
  <cp:lastModifiedBy>Luisana Astudillo</cp:lastModifiedBy>
  <cp:revision>11</cp:revision>
  <dcterms:created xsi:type="dcterms:W3CDTF">2016-01-08T19:03:00Z</dcterms:created>
  <dcterms:modified xsi:type="dcterms:W3CDTF">2016-03-23T15:14:00Z</dcterms:modified>
</cp:coreProperties>
</file>