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82" w:rsidRDefault="00C75106">
      <w:pPr>
        <w:rPr>
          <w:rFonts w:ascii="Times New Roman" w:hAnsi="Times New Roman" w:cs="Times New Roman"/>
          <w:b/>
          <w:sz w:val="24"/>
        </w:rPr>
      </w:pPr>
      <w:r w:rsidRPr="00E525EE">
        <w:rPr>
          <w:rFonts w:ascii="Times New Roman" w:hAnsi="Times New Roman" w:cs="Times New Roman"/>
          <w:b/>
          <w:sz w:val="24"/>
        </w:rPr>
        <w:t>Supplementary Methods</w:t>
      </w:r>
    </w:p>
    <w:p w:rsidR="00E525EE" w:rsidRPr="00E525EE" w:rsidRDefault="00E525EE">
      <w:pPr>
        <w:rPr>
          <w:rFonts w:ascii="Times New Roman" w:hAnsi="Times New Roman" w:cs="Times New Roman"/>
          <w:b/>
          <w:sz w:val="24"/>
        </w:rPr>
      </w:pPr>
    </w:p>
    <w:p w:rsidR="00E525EE" w:rsidRPr="00357B85" w:rsidRDefault="00E525EE" w:rsidP="00E525EE">
      <w:pPr>
        <w:pStyle w:val="patentnorm"/>
        <w:widowControl/>
        <w:spacing w:line="480" w:lineRule="auto"/>
        <w:rPr>
          <w:sz w:val="28"/>
          <w:szCs w:val="24"/>
        </w:rPr>
      </w:pPr>
      <w:r w:rsidRPr="00F06891">
        <w:rPr>
          <w:b/>
          <w:szCs w:val="24"/>
          <w:lang w:val="en-US"/>
        </w:rPr>
        <w:t xml:space="preserve">SILAC </w:t>
      </w:r>
      <w:r>
        <w:rPr>
          <w:b/>
          <w:szCs w:val="24"/>
          <w:lang w:val="en-US"/>
        </w:rPr>
        <w:t>assays</w:t>
      </w:r>
    </w:p>
    <w:p w:rsidR="00E525EE" w:rsidRDefault="00E525EE" w:rsidP="00E525EE">
      <w:pPr>
        <w:pStyle w:val="patentnorm"/>
        <w:widowControl/>
        <w:spacing w:line="480" w:lineRule="auto"/>
        <w:rPr>
          <w:rFonts w:eastAsia="Calibri"/>
          <w:szCs w:val="24"/>
        </w:rPr>
      </w:pPr>
      <w:r w:rsidRPr="00A87A99">
        <w:rPr>
          <w:szCs w:val="24"/>
        </w:rPr>
        <w:t xml:space="preserve">MCF-7 cells were grown for at least three passages in stable isotope labelling by amino acids (SILAC) </w:t>
      </w:r>
      <w:r>
        <w:rPr>
          <w:szCs w:val="24"/>
        </w:rPr>
        <w:t xml:space="preserve">phenol red-free RPMI </w:t>
      </w:r>
      <w:r w:rsidRPr="00A87A99">
        <w:rPr>
          <w:szCs w:val="24"/>
        </w:rPr>
        <w:t xml:space="preserve">media (Sigma R1780) containing </w:t>
      </w:r>
      <w:r w:rsidRPr="00A87A99">
        <w:rPr>
          <w:szCs w:val="24"/>
          <w:vertAlign w:val="superscript"/>
        </w:rPr>
        <w:t>13</w:t>
      </w:r>
      <w:r w:rsidRPr="00A87A99">
        <w:rPr>
          <w:szCs w:val="24"/>
        </w:rPr>
        <w:t>C</w:t>
      </w:r>
      <w:r w:rsidRPr="00A87A99">
        <w:rPr>
          <w:szCs w:val="24"/>
          <w:vertAlign w:val="subscript"/>
        </w:rPr>
        <w:t>6</w:t>
      </w:r>
      <w:r w:rsidRPr="00A87A99">
        <w:rPr>
          <w:szCs w:val="24"/>
          <w:vertAlign w:val="superscript"/>
        </w:rPr>
        <w:t>15</w:t>
      </w:r>
      <w:r w:rsidRPr="00A87A99">
        <w:rPr>
          <w:szCs w:val="24"/>
        </w:rPr>
        <w:t>N</w:t>
      </w:r>
      <w:r w:rsidRPr="00A87A99">
        <w:rPr>
          <w:szCs w:val="24"/>
          <w:vertAlign w:val="subscript"/>
        </w:rPr>
        <w:t>4</w:t>
      </w:r>
      <w:r w:rsidRPr="00A87A99">
        <w:rPr>
          <w:szCs w:val="24"/>
        </w:rPr>
        <w:t xml:space="preserve"> arginine (heavy medium) to </w:t>
      </w:r>
      <w:r>
        <w:rPr>
          <w:szCs w:val="24"/>
        </w:rPr>
        <w:t xml:space="preserve">fully </w:t>
      </w:r>
      <w:r w:rsidRPr="00A87A99">
        <w:rPr>
          <w:szCs w:val="24"/>
        </w:rPr>
        <w:t xml:space="preserve">label peptides.  Cells were then </w:t>
      </w:r>
      <w:r>
        <w:rPr>
          <w:szCs w:val="24"/>
        </w:rPr>
        <w:t xml:space="preserve">grown </w:t>
      </w:r>
      <w:r w:rsidRPr="00A87A99">
        <w:rPr>
          <w:szCs w:val="24"/>
        </w:rPr>
        <w:t>in heavy medi</w:t>
      </w:r>
      <w:r>
        <w:rPr>
          <w:szCs w:val="24"/>
        </w:rPr>
        <w:t>um supplemented with 5</w:t>
      </w:r>
      <w:r w:rsidRPr="00A87A99">
        <w:rPr>
          <w:szCs w:val="24"/>
        </w:rPr>
        <w:t xml:space="preserve">% dialysed CSS for 24 hours before washing with PBS and switching to standard phenol red-free RPMI medium containing unlabelled arginine and AZD9496, fulvestrant, tamoxifen, estradiol or DMSO.  Compounds were </w:t>
      </w:r>
      <w:r>
        <w:rPr>
          <w:szCs w:val="24"/>
        </w:rPr>
        <w:t xml:space="preserve">incubated over a 48 hour period before protein lysates were prepared in lysis buffer.  </w:t>
      </w:r>
      <w:r w:rsidRPr="00A87A99">
        <w:rPr>
          <w:szCs w:val="24"/>
        </w:rPr>
        <w:t>Equal co</w:t>
      </w:r>
      <w:r>
        <w:rPr>
          <w:szCs w:val="24"/>
        </w:rPr>
        <w:t xml:space="preserve">ncentrations of sample proteins </w:t>
      </w:r>
      <w:r w:rsidRPr="00A87A99">
        <w:rPr>
          <w:szCs w:val="24"/>
        </w:rPr>
        <w:t>spiked with internal st</w:t>
      </w:r>
      <w:r>
        <w:rPr>
          <w:szCs w:val="24"/>
        </w:rPr>
        <w:t>andards (lysate from MCF-7 cells</w:t>
      </w:r>
      <w:r w:rsidRPr="00A87A99">
        <w:rPr>
          <w:szCs w:val="24"/>
        </w:rPr>
        <w:t xml:space="preserve"> label</w:t>
      </w:r>
      <w:r>
        <w:rPr>
          <w:szCs w:val="24"/>
        </w:rPr>
        <w:t>l</w:t>
      </w:r>
      <w:r w:rsidRPr="00A87A99">
        <w:rPr>
          <w:szCs w:val="24"/>
        </w:rPr>
        <w:t xml:space="preserve">ed with </w:t>
      </w:r>
      <w:r w:rsidRPr="00A87A99">
        <w:rPr>
          <w:szCs w:val="24"/>
          <w:vertAlign w:val="superscript"/>
        </w:rPr>
        <w:t>13</w:t>
      </w:r>
      <w:r w:rsidRPr="00A87A99">
        <w:rPr>
          <w:szCs w:val="24"/>
        </w:rPr>
        <w:t>C</w:t>
      </w:r>
      <w:r w:rsidRPr="00A87A99">
        <w:rPr>
          <w:szCs w:val="24"/>
          <w:vertAlign w:val="subscript"/>
        </w:rPr>
        <w:t>6</w:t>
      </w:r>
      <w:r w:rsidRPr="00A87A99">
        <w:rPr>
          <w:szCs w:val="24"/>
        </w:rPr>
        <w:t xml:space="preserve"> lysine only) were immunoprecipitated overnight at 4</w:t>
      </w:r>
      <w:r w:rsidRPr="00A87A99">
        <w:rPr>
          <w:szCs w:val="24"/>
          <w:vertAlign w:val="superscript"/>
        </w:rPr>
        <w:t>o</w:t>
      </w:r>
      <w:r w:rsidRPr="00A87A99">
        <w:rPr>
          <w:szCs w:val="24"/>
        </w:rPr>
        <w:t xml:space="preserve">C using an anti-ERα monoclonal antibody (SP1, Thermo Fisher Scientific) and then digested with 0.4 μg trypsin in 50 mmol/L ammonium bicarbonate </w:t>
      </w:r>
      <w:r>
        <w:rPr>
          <w:szCs w:val="24"/>
        </w:rPr>
        <w:t>at 37</w:t>
      </w:r>
      <w:r w:rsidRPr="004F385F">
        <w:rPr>
          <w:szCs w:val="24"/>
          <w:vertAlign w:val="superscript"/>
        </w:rPr>
        <w:t>o</w:t>
      </w:r>
      <w:r>
        <w:rPr>
          <w:szCs w:val="24"/>
        </w:rPr>
        <w:t xml:space="preserve">C overnight </w:t>
      </w:r>
      <w:r w:rsidRPr="00A87A99">
        <w:rPr>
          <w:szCs w:val="24"/>
        </w:rPr>
        <w:t>before analysing by mass spectr</w:t>
      </w:r>
      <w:r>
        <w:rPr>
          <w:szCs w:val="24"/>
        </w:rPr>
        <w:t>o</w:t>
      </w:r>
      <w:r w:rsidRPr="00A87A99">
        <w:rPr>
          <w:szCs w:val="24"/>
        </w:rPr>
        <w:t>metry using rela</w:t>
      </w:r>
      <w:r>
        <w:rPr>
          <w:szCs w:val="24"/>
        </w:rPr>
        <w:t>t</w:t>
      </w:r>
      <w:r w:rsidRPr="00A87A99">
        <w:rPr>
          <w:szCs w:val="24"/>
        </w:rPr>
        <w:t xml:space="preserve">ive peptide quantification by selected reaction monitoring (SRM). </w:t>
      </w:r>
      <w:r w:rsidRPr="00010847">
        <w:rPr>
          <w:rFonts w:eastAsia="Calibri"/>
          <w:szCs w:val="24"/>
        </w:rPr>
        <w:t>Degradation half-life was measured using the one-phase exponential decay equation in GraphPad PRISM (Y=Span</w:t>
      </w:r>
      <w:r w:rsidRPr="00010847">
        <w:rPr>
          <w:rFonts w:eastAsia="Calibri"/>
          <w:szCs w:val="24"/>
          <w:vertAlign w:val="superscript"/>
        </w:rPr>
        <w:t>.</w:t>
      </w:r>
      <w:r w:rsidRPr="00010847">
        <w:rPr>
          <w:rFonts w:eastAsia="Calibri"/>
          <w:szCs w:val="24"/>
        </w:rPr>
        <w:t>e</w:t>
      </w:r>
      <w:r w:rsidRPr="00010847">
        <w:rPr>
          <w:rFonts w:eastAsia="Calibri"/>
          <w:szCs w:val="24"/>
          <w:vertAlign w:val="superscript"/>
        </w:rPr>
        <w:t>-K.X</w:t>
      </w:r>
      <w:r w:rsidRPr="00010847">
        <w:rPr>
          <w:rFonts w:eastAsia="Calibri"/>
          <w:szCs w:val="24"/>
        </w:rPr>
        <w:t>+Plateau) where X is time and Y is response which starts out as Span+Plateau and decreases to Plateau with a rate constant K.</w:t>
      </w:r>
    </w:p>
    <w:p w:rsidR="00E525EE" w:rsidRDefault="00E525EE">
      <w:pPr>
        <w:rPr>
          <w:rFonts w:ascii="Times New Roman" w:hAnsi="Times New Roman" w:cs="Times New Roman"/>
          <w:sz w:val="24"/>
        </w:rPr>
      </w:pPr>
    </w:p>
    <w:p w:rsidR="00E525EE" w:rsidRPr="00E525EE" w:rsidRDefault="00E525EE">
      <w:pPr>
        <w:rPr>
          <w:rFonts w:ascii="Times New Roman" w:hAnsi="Times New Roman" w:cs="Times New Roman"/>
          <w:b/>
          <w:sz w:val="24"/>
        </w:rPr>
      </w:pPr>
      <w:r>
        <w:rPr>
          <w:rFonts w:ascii="Times New Roman" w:hAnsi="Times New Roman" w:cs="Times New Roman"/>
          <w:b/>
          <w:sz w:val="24"/>
        </w:rPr>
        <w:t>Biacore affinity measurements</w:t>
      </w:r>
    </w:p>
    <w:p w:rsidR="00E525EE" w:rsidRDefault="00E525EE" w:rsidP="00E525EE">
      <w:pPr>
        <w:spacing w:line="480" w:lineRule="auto"/>
        <w:rPr>
          <w:rFonts w:ascii="Times New Roman" w:hAnsi="Times New Roman" w:cs="Times New Roman"/>
          <w:sz w:val="24"/>
          <w:szCs w:val="24"/>
          <w:lang w:val="en-US"/>
        </w:rPr>
      </w:pPr>
      <w:r w:rsidRPr="00496C53">
        <w:rPr>
          <w:rFonts w:ascii="Times New Roman" w:hAnsi="Times New Roman" w:cs="Times New Roman"/>
          <w:sz w:val="24"/>
          <w:szCs w:val="24"/>
          <w:lang w:val="en-US"/>
        </w:rPr>
        <w:t xml:space="preserve">For BIAcore affinity measurements a </w:t>
      </w:r>
      <w:r w:rsidRPr="00496C53">
        <w:rPr>
          <w:rFonts w:ascii="Times New Roman" w:hAnsi="Times New Roman" w:cs="Times New Roman"/>
          <w:sz w:val="24"/>
          <w:szCs w:val="24"/>
        </w:rPr>
        <w:t>tetra-His antibody (Qiagen) was immobilised to a biacore CM5 biosensor chip in 20 mM HE</w:t>
      </w:r>
      <w:r>
        <w:rPr>
          <w:rFonts w:ascii="Times New Roman" w:hAnsi="Times New Roman" w:cs="Times New Roman"/>
          <w:sz w:val="24"/>
          <w:szCs w:val="24"/>
        </w:rPr>
        <w:t>PES, pH 7.4, 150 mM NaCl, 0.005</w:t>
      </w:r>
      <w:r w:rsidRPr="00496C53">
        <w:rPr>
          <w:rFonts w:ascii="Times New Roman" w:hAnsi="Times New Roman" w:cs="Times New Roman"/>
          <w:sz w:val="24"/>
          <w:szCs w:val="24"/>
        </w:rPr>
        <w:t>% T20 (HBS-T) running buffer and 6His-ERα protein captured in the presence of AZD9496. The association (k</w:t>
      </w:r>
      <w:r w:rsidRPr="00496C53">
        <w:rPr>
          <w:rFonts w:ascii="Times New Roman" w:hAnsi="Times New Roman" w:cs="Times New Roman"/>
          <w:sz w:val="24"/>
          <w:szCs w:val="24"/>
          <w:vertAlign w:val="subscript"/>
        </w:rPr>
        <w:t>ass</w:t>
      </w:r>
      <w:r w:rsidRPr="00496C53">
        <w:rPr>
          <w:rFonts w:ascii="Times New Roman" w:hAnsi="Times New Roman" w:cs="Times New Roman"/>
          <w:sz w:val="24"/>
          <w:szCs w:val="24"/>
        </w:rPr>
        <w:t>) and dissociation (k</w:t>
      </w:r>
      <w:r w:rsidRPr="00496C53">
        <w:rPr>
          <w:rFonts w:ascii="Times New Roman" w:hAnsi="Times New Roman" w:cs="Times New Roman"/>
          <w:sz w:val="24"/>
          <w:szCs w:val="24"/>
          <w:vertAlign w:val="subscript"/>
        </w:rPr>
        <w:t>diss</w:t>
      </w:r>
      <w:r w:rsidRPr="00496C53">
        <w:rPr>
          <w:rFonts w:ascii="Times New Roman" w:hAnsi="Times New Roman" w:cs="Times New Roman"/>
          <w:sz w:val="24"/>
          <w:szCs w:val="24"/>
        </w:rPr>
        <w:t xml:space="preserve">) rate constants </w:t>
      </w:r>
      <w:r>
        <w:rPr>
          <w:rFonts w:ascii="Times New Roman" w:hAnsi="Times New Roman" w:cs="Times New Roman"/>
          <w:sz w:val="24"/>
          <w:szCs w:val="24"/>
        </w:rPr>
        <w:t xml:space="preserve">and </w:t>
      </w:r>
      <w:r w:rsidRPr="00496C53">
        <w:rPr>
          <w:rFonts w:ascii="Times New Roman" w:hAnsi="Times New Roman" w:cs="Times New Roman"/>
          <w:sz w:val="24"/>
          <w:szCs w:val="24"/>
        </w:rPr>
        <w:t>(K</w:t>
      </w:r>
      <w:r w:rsidRPr="00496C53">
        <w:rPr>
          <w:rFonts w:ascii="Times New Roman" w:hAnsi="Times New Roman" w:cs="Times New Roman"/>
          <w:sz w:val="24"/>
          <w:szCs w:val="24"/>
          <w:vertAlign w:val="subscript"/>
        </w:rPr>
        <w:t>D</w:t>
      </w:r>
      <w:r w:rsidRPr="00496C53">
        <w:rPr>
          <w:rFonts w:ascii="Times New Roman" w:hAnsi="Times New Roman" w:cs="Times New Roman"/>
          <w:sz w:val="24"/>
          <w:szCs w:val="24"/>
        </w:rPr>
        <w:t xml:space="preserve">) were calculated </w:t>
      </w:r>
      <w:r>
        <w:rPr>
          <w:rFonts w:ascii="Times New Roman" w:hAnsi="Times New Roman" w:cs="Times New Roman"/>
          <w:sz w:val="24"/>
          <w:szCs w:val="24"/>
        </w:rPr>
        <w:t>using BIAevaluation</w:t>
      </w:r>
      <w:r w:rsidRPr="00496C53">
        <w:rPr>
          <w:rFonts w:ascii="Times New Roman" w:hAnsi="Times New Roman" w:cs="Times New Roman"/>
          <w:sz w:val="24"/>
          <w:szCs w:val="24"/>
          <w:lang w:val="en-US"/>
        </w:rPr>
        <w:t xml:space="preserve"> software (v</w:t>
      </w:r>
      <w:r>
        <w:rPr>
          <w:rFonts w:ascii="Times New Roman" w:hAnsi="Times New Roman" w:cs="Times New Roman"/>
          <w:sz w:val="24"/>
          <w:szCs w:val="24"/>
          <w:lang w:val="en-US"/>
        </w:rPr>
        <w:t>4.1, Biacore, GE Healthcare) and</w:t>
      </w:r>
      <w:r w:rsidRPr="00496C53">
        <w:rPr>
          <w:rFonts w:ascii="Times New Roman" w:hAnsi="Times New Roman" w:cs="Times New Roman"/>
          <w:sz w:val="24"/>
          <w:szCs w:val="24"/>
          <w:lang w:val="en-US"/>
        </w:rPr>
        <w:t xml:space="preserve"> used to fit the</w:t>
      </w:r>
      <w:r w:rsidRPr="00496C53">
        <w:rPr>
          <w:rFonts w:ascii="Times New Roman" w:hAnsi="Times New Roman" w:cs="Times New Roman"/>
          <w:sz w:val="24"/>
          <w:szCs w:val="24"/>
        </w:rPr>
        <w:t xml:space="preserve"> </w:t>
      </w:r>
      <w:r w:rsidRPr="00496C53">
        <w:rPr>
          <w:rFonts w:ascii="Times New Roman" w:hAnsi="Times New Roman" w:cs="Times New Roman"/>
          <w:sz w:val="24"/>
          <w:szCs w:val="24"/>
          <w:lang w:val="en-US"/>
        </w:rPr>
        <w:t>ERα LBD</w:t>
      </w:r>
      <w:r w:rsidRPr="00496C53">
        <w:rPr>
          <w:rFonts w:ascii="Times New Roman" w:hAnsi="Times New Roman" w:cs="Times New Roman"/>
          <w:sz w:val="24"/>
          <w:szCs w:val="24"/>
        </w:rPr>
        <w:t>:AZD9496</w:t>
      </w:r>
      <w:r w:rsidRPr="00496C53">
        <w:rPr>
          <w:rFonts w:ascii="Times New Roman" w:hAnsi="Times New Roman" w:cs="Times New Roman"/>
          <w:sz w:val="24"/>
          <w:szCs w:val="24"/>
          <w:lang w:val="en-US"/>
        </w:rPr>
        <w:t xml:space="preserve"> interaction to a 1:1 Langmuir binding interaction model.</w:t>
      </w:r>
    </w:p>
    <w:p w:rsidR="00E525EE" w:rsidRPr="00E752F2" w:rsidRDefault="00E525EE" w:rsidP="00E525EE">
      <w:pPr>
        <w:pStyle w:val="patentnorm"/>
        <w:widowControl/>
        <w:spacing w:line="480" w:lineRule="auto"/>
        <w:rPr>
          <w:b/>
          <w:szCs w:val="24"/>
        </w:rPr>
      </w:pPr>
      <w:r w:rsidRPr="00CC40FA">
        <w:rPr>
          <w:b/>
          <w:szCs w:val="24"/>
        </w:rPr>
        <w:lastRenderedPageBreak/>
        <w:t>Immunoblotting</w:t>
      </w:r>
    </w:p>
    <w:p w:rsidR="005C0D8F" w:rsidRDefault="00E525EE" w:rsidP="00756431">
      <w:pPr>
        <w:autoSpaceDE w:val="0"/>
        <w:autoSpaceDN w:val="0"/>
        <w:adjustRightInd w:val="0"/>
        <w:spacing w:line="480" w:lineRule="auto"/>
        <w:rPr>
          <w:rFonts w:ascii="Times New Roman" w:hAnsi="Times New Roman" w:cs="Times New Roman"/>
          <w:sz w:val="24"/>
          <w:szCs w:val="24"/>
        </w:rPr>
      </w:pPr>
      <w:r w:rsidRPr="00D875D4">
        <w:rPr>
          <w:rFonts w:ascii="Times New Roman" w:hAnsi="Times New Roman" w:cs="Times New Roman"/>
          <w:sz w:val="24"/>
          <w:szCs w:val="24"/>
        </w:rPr>
        <w:t>Cel</w:t>
      </w:r>
      <w:r>
        <w:rPr>
          <w:rFonts w:ascii="Times New Roman" w:hAnsi="Times New Roman" w:cs="Times New Roman"/>
          <w:sz w:val="24"/>
          <w:szCs w:val="24"/>
        </w:rPr>
        <w:t xml:space="preserve">ls were lysed in </w:t>
      </w:r>
      <w:r w:rsidRPr="00D875D4">
        <w:rPr>
          <w:rFonts w:ascii="Times New Roman" w:hAnsi="Times New Roman" w:cs="Times New Roman"/>
          <w:sz w:val="24"/>
          <w:szCs w:val="24"/>
        </w:rPr>
        <w:t xml:space="preserve">25 mmol/L Tris/HCL pH6.8, 3 mmol/L EDTA, 3 mmol/L EGTA, 50 mmol/L NaF, 2 mmol/L sodium orthovanadate, 270 mmol/L sucrose, 10 mmol/L </w:t>
      </w:r>
      <w:r w:rsidRPr="00D875D4">
        <w:rPr>
          <w:rFonts w:ascii="Symbol" w:hAnsi="Symbol" w:cs="Times New Roman"/>
          <w:sz w:val="24"/>
          <w:szCs w:val="24"/>
        </w:rPr>
        <w:t></w:t>
      </w:r>
      <w:r w:rsidRPr="00D875D4">
        <w:rPr>
          <w:rFonts w:ascii="Times New Roman" w:hAnsi="Times New Roman" w:cs="Times New Roman"/>
          <w:sz w:val="24"/>
          <w:szCs w:val="24"/>
        </w:rPr>
        <w:t>-glycerophosphate, 5 mmol/L sodium pyrophosphate and 0.5% Triton X-100 supplemented with protease inhibitors (Roche) and ph</w:t>
      </w:r>
      <w:r>
        <w:rPr>
          <w:rFonts w:ascii="Times New Roman" w:hAnsi="Times New Roman" w:cs="Times New Roman"/>
          <w:sz w:val="24"/>
          <w:szCs w:val="24"/>
        </w:rPr>
        <w:t xml:space="preserve">osphatase inhibitors (Pierce) and proteins run on </w:t>
      </w:r>
      <w:r w:rsidRPr="00D875D4">
        <w:rPr>
          <w:rFonts w:ascii="Times New Roman" w:hAnsi="Times New Roman" w:cs="Times New Roman"/>
          <w:sz w:val="24"/>
          <w:szCs w:val="24"/>
        </w:rPr>
        <w:t xml:space="preserve">4% to 12% Tris-HCl precast gels (Bio-Rad).  </w:t>
      </w:r>
      <w:r>
        <w:rPr>
          <w:rFonts w:ascii="Times New Roman" w:hAnsi="Times New Roman" w:cs="Times New Roman"/>
          <w:sz w:val="24"/>
          <w:szCs w:val="24"/>
        </w:rPr>
        <w:t>M</w:t>
      </w:r>
      <w:r w:rsidRPr="00D875D4">
        <w:rPr>
          <w:rFonts w:ascii="Times New Roman" w:hAnsi="Times New Roman" w:cs="Times New Roman"/>
          <w:sz w:val="24"/>
          <w:szCs w:val="24"/>
        </w:rPr>
        <w:t xml:space="preserve">embranes were probed </w:t>
      </w:r>
      <w:r>
        <w:rPr>
          <w:rFonts w:ascii="Times New Roman" w:hAnsi="Times New Roman" w:cs="Times New Roman"/>
          <w:sz w:val="24"/>
          <w:szCs w:val="24"/>
        </w:rPr>
        <w:t xml:space="preserve">overnight </w:t>
      </w:r>
      <w:r w:rsidRPr="00D875D4">
        <w:rPr>
          <w:rFonts w:ascii="Times New Roman" w:hAnsi="Times New Roman" w:cs="Times New Roman"/>
          <w:sz w:val="24"/>
          <w:szCs w:val="24"/>
        </w:rPr>
        <w:t>w</w:t>
      </w:r>
      <w:r>
        <w:rPr>
          <w:rFonts w:ascii="Times New Roman" w:hAnsi="Times New Roman" w:cs="Times New Roman"/>
          <w:sz w:val="24"/>
          <w:szCs w:val="24"/>
        </w:rPr>
        <w:t xml:space="preserve">ith primary antibodies </w:t>
      </w:r>
      <w:r w:rsidRPr="00D875D4">
        <w:rPr>
          <w:rFonts w:ascii="Times New Roman" w:hAnsi="Times New Roman" w:cs="Times New Roman"/>
          <w:sz w:val="24"/>
          <w:szCs w:val="24"/>
        </w:rPr>
        <w:t xml:space="preserve"> (ER</w:t>
      </w:r>
      <w:r w:rsidRPr="00D875D4">
        <w:rPr>
          <w:rFonts w:ascii="Symbol" w:hAnsi="Symbol" w:cs="Times New Roman"/>
          <w:sz w:val="24"/>
          <w:szCs w:val="24"/>
        </w:rPr>
        <w:t></w:t>
      </w:r>
      <w:r w:rsidRPr="00D875D4">
        <w:rPr>
          <w:rFonts w:ascii="Times New Roman" w:hAnsi="Times New Roman" w:cs="Times New Roman"/>
          <w:sz w:val="24"/>
          <w:szCs w:val="24"/>
        </w:rPr>
        <w:t xml:space="preserve">, Thermo Fisher </w:t>
      </w:r>
      <w:r>
        <w:rPr>
          <w:rFonts w:ascii="Times New Roman" w:hAnsi="Times New Roman" w:cs="Times New Roman"/>
          <w:sz w:val="24"/>
          <w:szCs w:val="24"/>
        </w:rPr>
        <w:t xml:space="preserve">Scientific </w:t>
      </w:r>
      <w:r w:rsidRPr="00D875D4">
        <w:rPr>
          <w:rFonts w:ascii="Times New Roman" w:hAnsi="Times New Roman" w:cs="Times New Roman"/>
          <w:sz w:val="24"/>
          <w:szCs w:val="24"/>
        </w:rPr>
        <w:t xml:space="preserve">SP1; PR, Dako </w:t>
      </w:r>
      <w:r w:rsidRPr="00D875D4">
        <w:rPr>
          <w:rFonts w:ascii="Times New Roman" w:eastAsia="Calibri" w:hAnsi="Times New Roman" w:cs="Times New Roman"/>
          <w:sz w:val="24"/>
          <w:szCs w:val="24"/>
        </w:rPr>
        <w:t>PgR636</w:t>
      </w:r>
      <w:r>
        <w:rPr>
          <w:rFonts w:ascii="Times New Roman" w:hAnsi="Times New Roman" w:cs="Times New Roman"/>
          <w:sz w:val="24"/>
          <w:szCs w:val="24"/>
        </w:rPr>
        <w:t>; GAPDH, CST 2118) followed by incubation</w:t>
      </w:r>
      <w:r w:rsidRPr="00D875D4">
        <w:rPr>
          <w:rFonts w:ascii="Times New Roman" w:hAnsi="Times New Roman" w:cs="Times New Roman"/>
          <w:sz w:val="24"/>
          <w:szCs w:val="24"/>
        </w:rPr>
        <w:t xml:space="preserve"> with HRP-tagged secondary antibodies (CST 7074 or 7076) and visualized on a Syngene ChemiGenius with Super-Signal West Dura Chemiluminescence Substrate (Pierce).</w:t>
      </w:r>
    </w:p>
    <w:p w:rsidR="005C0D8F" w:rsidRPr="00756431" w:rsidRDefault="005C0D8F" w:rsidP="00756431">
      <w:pPr>
        <w:autoSpaceDE w:val="0"/>
        <w:autoSpaceDN w:val="0"/>
        <w:adjustRightInd w:val="0"/>
        <w:spacing w:line="480" w:lineRule="auto"/>
        <w:rPr>
          <w:rFonts w:ascii="Times New Roman" w:hAnsi="Times New Roman" w:cs="Times New Roman"/>
          <w:sz w:val="24"/>
          <w:szCs w:val="24"/>
        </w:rPr>
      </w:pPr>
    </w:p>
    <w:p w:rsidR="00282860" w:rsidRDefault="00282860" w:rsidP="00282860">
      <w:pPr>
        <w:pStyle w:val="patentnorm"/>
        <w:widowControl/>
        <w:spacing w:line="480" w:lineRule="auto"/>
        <w:rPr>
          <w:rFonts w:eastAsia="Calibri"/>
          <w:b/>
          <w:szCs w:val="24"/>
        </w:rPr>
      </w:pPr>
      <w:r w:rsidRPr="008862CD">
        <w:rPr>
          <w:rFonts w:eastAsia="Calibri"/>
          <w:b/>
          <w:szCs w:val="24"/>
        </w:rPr>
        <w:t xml:space="preserve">RNA extraction and </w:t>
      </w:r>
      <w:r>
        <w:rPr>
          <w:rFonts w:eastAsia="Calibri"/>
          <w:b/>
          <w:szCs w:val="24"/>
        </w:rPr>
        <w:t>HTA t</w:t>
      </w:r>
      <w:r w:rsidRPr="008862CD">
        <w:rPr>
          <w:rFonts w:eastAsia="Calibri"/>
          <w:b/>
          <w:szCs w:val="24"/>
        </w:rPr>
        <w:t>ranscript analysis</w:t>
      </w:r>
    </w:p>
    <w:p w:rsidR="00756431" w:rsidRDefault="00282860" w:rsidP="00282860">
      <w:pPr>
        <w:pStyle w:val="patentnorm"/>
        <w:widowControl/>
        <w:spacing w:line="480" w:lineRule="auto"/>
        <w:rPr>
          <w:szCs w:val="24"/>
        </w:rPr>
      </w:pPr>
      <w:r w:rsidRPr="00D12BA9">
        <w:rPr>
          <w:szCs w:val="24"/>
        </w:rPr>
        <w:t xml:space="preserve">RNA was extracted from </w:t>
      </w:r>
      <w:r>
        <w:rPr>
          <w:szCs w:val="24"/>
        </w:rPr>
        <w:t xml:space="preserve">tissue </w:t>
      </w:r>
      <w:r w:rsidRPr="00D12BA9">
        <w:rPr>
          <w:szCs w:val="24"/>
        </w:rPr>
        <w:t xml:space="preserve">samples </w:t>
      </w:r>
      <w:r>
        <w:rPr>
          <w:szCs w:val="24"/>
        </w:rPr>
        <w:t>using the miRNeasy kit (Qiagen) and Qiacube system as per manufacturer’s instructions</w:t>
      </w:r>
      <w:r w:rsidRPr="00D12BA9">
        <w:rPr>
          <w:szCs w:val="24"/>
        </w:rPr>
        <w:t>. RNA quantity and purity was then determined using a Nanodrop sp</w:t>
      </w:r>
      <w:r>
        <w:rPr>
          <w:szCs w:val="24"/>
        </w:rPr>
        <w:t xml:space="preserve">ectrophotometer and </w:t>
      </w:r>
      <w:r>
        <w:t xml:space="preserve">mRNA levels measured using a human transcriptome assay (HTA2.0; </w:t>
      </w:r>
      <w:r>
        <w:rPr>
          <w:szCs w:val="24"/>
        </w:rPr>
        <w:t xml:space="preserve">Affymetrix). </w:t>
      </w:r>
      <w:r w:rsidRPr="00081EF7">
        <w:rPr>
          <w:szCs w:val="24"/>
        </w:rPr>
        <w:t xml:space="preserve">Normalisation </w:t>
      </w:r>
      <w:r>
        <w:rPr>
          <w:szCs w:val="24"/>
        </w:rPr>
        <w:t xml:space="preserve">of HTA array data </w:t>
      </w:r>
      <w:r w:rsidRPr="00081EF7">
        <w:rPr>
          <w:szCs w:val="24"/>
        </w:rPr>
        <w:t xml:space="preserve">was performed using Robust Multi-array Average (RMA) method and quality control analyses were run in the Affymetrix Expression Console software.  Differential gene expression analyses were subsequently carried out for each treatment versus its control in the three groups separately.  Statistical significance in gene expression differences between the treatments and the controls was assessed using ANOVA and set at a linear fold change &gt;1.5 and p&lt;0.05.  </w:t>
      </w:r>
    </w:p>
    <w:p w:rsidR="00756431" w:rsidRDefault="00756431" w:rsidP="00282860">
      <w:pPr>
        <w:pStyle w:val="patentnorm"/>
        <w:widowControl/>
        <w:spacing w:line="480" w:lineRule="auto"/>
        <w:rPr>
          <w:szCs w:val="24"/>
        </w:rPr>
      </w:pPr>
    </w:p>
    <w:p w:rsidR="007B29B9" w:rsidRPr="007B29B9" w:rsidRDefault="007B29B9" w:rsidP="00282860">
      <w:pPr>
        <w:pStyle w:val="patentnorm"/>
        <w:widowControl/>
        <w:spacing w:line="480" w:lineRule="auto"/>
        <w:rPr>
          <w:b/>
          <w:szCs w:val="24"/>
          <w:lang w:val="en-US"/>
        </w:rPr>
      </w:pPr>
      <w:r>
        <w:rPr>
          <w:b/>
          <w:szCs w:val="24"/>
          <w:lang w:val="en-US"/>
        </w:rPr>
        <w:t xml:space="preserve">Rat Uterine and </w:t>
      </w:r>
      <w:r w:rsidRPr="00081EF7">
        <w:rPr>
          <w:b/>
          <w:szCs w:val="24"/>
          <w:lang w:val="en-US"/>
        </w:rPr>
        <w:t>Xenograft Studies</w:t>
      </w:r>
    </w:p>
    <w:p w:rsidR="005A74CA" w:rsidRPr="001B3461" w:rsidRDefault="005A74CA" w:rsidP="005A74CA">
      <w:pPr>
        <w:pStyle w:val="A-ListBullet"/>
        <w:numPr>
          <w:ilvl w:val="0"/>
          <w:numId w:val="0"/>
        </w:numPr>
        <w:tabs>
          <w:tab w:val="left" w:pos="993"/>
        </w:tabs>
        <w:spacing w:after="120" w:line="480" w:lineRule="auto"/>
        <w:rPr>
          <w:szCs w:val="24"/>
        </w:rPr>
      </w:pPr>
      <w:r>
        <w:rPr>
          <w:rFonts w:eastAsia="Calibri"/>
        </w:rPr>
        <w:lastRenderedPageBreak/>
        <w:t>MCF-7 cells (5 x 10</w:t>
      </w:r>
      <w:r w:rsidRPr="00C22C0A">
        <w:rPr>
          <w:rFonts w:eastAsia="Calibri"/>
          <w:vertAlign w:val="superscript"/>
        </w:rPr>
        <w:t>6</w:t>
      </w:r>
      <w:r>
        <w:rPr>
          <w:rFonts w:eastAsia="Calibri"/>
        </w:rPr>
        <w:t xml:space="preserve"> ) were implanted sub</w:t>
      </w:r>
      <w:r w:rsidRPr="009C58EB">
        <w:rPr>
          <w:rFonts w:eastAsia="Calibri"/>
        </w:rPr>
        <w:t>cutaneously in the hind flank of immuno-compromised (SCID) male mice the day after each mouse was surgically implanted with a 0.5 mg/21 day estrogen pellet (</w:t>
      </w:r>
      <w:r w:rsidRPr="009C58EB">
        <w:rPr>
          <w:rFonts w:eastAsia="Calibri"/>
          <w:color w:val="000000"/>
        </w:rPr>
        <w:t>Innovative Research, USA</w:t>
      </w:r>
      <w:r w:rsidRPr="009C58EB">
        <w:rPr>
          <w:rFonts w:eastAsia="Calibri"/>
        </w:rPr>
        <w:t xml:space="preserve">). </w:t>
      </w:r>
      <w:r w:rsidRPr="00496C53">
        <w:rPr>
          <w:lang w:val="en-US"/>
        </w:rPr>
        <w:t xml:space="preserve">HCC1428 LTED </w:t>
      </w:r>
      <w:r>
        <w:rPr>
          <w:lang w:val="en-US"/>
        </w:rPr>
        <w:t>(</w:t>
      </w:r>
      <w:r>
        <w:rPr>
          <w:rFonts w:eastAsia="Calibri"/>
        </w:rPr>
        <w:t>10 x 10</w:t>
      </w:r>
      <w:r w:rsidRPr="00C22C0A">
        <w:rPr>
          <w:rFonts w:eastAsia="Calibri"/>
          <w:vertAlign w:val="superscript"/>
        </w:rPr>
        <w:t>6</w:t>
      </w:r>
      <w:r>
        <w:rPr>
          <w:rFonts w:eastAsia="Calibri"/>
        </w:rPr>
        <w:t xml:space="preserve"> cells) were implanted transdermally </w:t>
      </w:r>
      <w:r w:rsidRPr="009C58EB">
        <w:rPr>
          <w:rFonts w:eastAsia="Calibri"/>
          <w:szCs w:val="24"/>
        </w:rPr>
        <w:t>into the fourth mammary fat pad of immuno-compromised (NSG) female mice 7 days after they were su</w:t>
      </w:r>
      <w:r>
        <w:rPr>
          <w:rFonts w:eastAsia="Calibri"/>
          <w:szCs w:val="24"/>
        </w:rPr>
        <w:t xml:space="preserve">rgically ovariectomized. CTC-714 PDX model was derived from </w:t>
      </w:r>
      <w:r>
        <w:rPr>
          <w:szCs w:val="24"/>
        </w:rPr>
        <w:t xml:space="preserve">patient CTC cultures, consented according to the Human Biological Samples Policy and purchased from Conversant Biologics. EpCAM+CD44+ cells were </w:t>
      </w:r>
      <w:r w:rsidRPr="00357B85">
        <w:rPr>
          <w:szCs w:val="24"/>
        </w:rPr>
        <w:t>suspended in phosphate buffered saline (PBS) mixed with high concentration matri</w:t>
      </w:r>
      <w:r>
        <w:rPr>
          <w:szCs w:val="24"/>
        </w:rPr>
        <w:t>gel (BD Biosciences) at 10 mg/ml and ~ 650 cells were</w:t>
      </w:r>
      <w:r w:rsidRPr="00357B85">
        <w:rPr>
          <w:szCs w:val="24"/>
        </w:rPr>
        <w:t xml:space="preserve"> injected into </w:t>
      </w:r>
      <w:r>
        <w:rPr>
          <w:szCs w:val="24"/>
        </w:rPr>
        <w:t xml:space="preserve">the third mammary </w:t>
      </w:r>
      <w:r w:rsidRPr="00357B85">
        <w:rPr>
          <w:szCs w:val="24"/>
        </w:rPr>
        <w:t xml:space="preserve">fat pad of a </w:t>
      </w:r>
      <w:hyperlink r:id="rId5" w:tgtFrame="_self" w:history="1">
        <w:r w:rsidRPr="00357B85">
          <w:rPr>
            <w:szCs w:val="24"/>
          </w:rPr>
          <w:t>NOD/SCID (Cg-Prkdcscid Il2rgtm1Wjl/SzJ</w:t>
        </w:r>
      </w:hyperlink>
      <w:r>
        <w:rPr>
          <w:szCs w:val="24"/>
        </w:rPr>
        <w:t xml:space="preserve">) mouse. In </w:t>
      </w:r>
      <w:r w:rsidRPr="00357B85">
        <w:rPr>
          <w:szCs w:val="24"/>
        </w:rPr>
        <w:t>tumo</w:t>
      </w:r>
      <w:r>
        <w:rPr>
          <w:szCs w:val="24"/>
        </w:rPr>
        <w:t>u</w:t>
      </w:r>
      <w:r w:rsidRPr="00357B85">
        <w:rPr>
          <w:szCs w:val="24"/>
        </w:rPr>
        <w:t>r transplantation study, 2 × 2 mm pieces of tumo</w:t>
      </w:r>
      <w:r>
        <w:rPr>
          <w:szCs w:val="24"/>
        </w:rPr>
        <w:t>u</w:t>
      </w:r>
      <w:r w:rsidRPr="00357B85">
        <w:rPr>
          <w:szCs w:val="24"/>
        </w:rPr>
        <w:t>r tissue from CTC-derived tumour xenografts were implanted in the mammary</w:t>
      </w:r>
      <w:r>
        <w:rPr>
          <w:szCs w:val="24"/>
        </w:rPr>
        <w:t xml:space="preserve"> fad pad of Beige Nude XID mice. </w:t>
      </w:r>
      <w:r>
        <w:rPr>
          <w:rFonts w:eastAsia="Calibri"/>
          <w:szCs w:val="24"/>
        </w:rPr>
        <w:t>Tumour</w:t>
      </w:r>
      <w:r w:rsidRPr="009C58EB">
        <w:rPr>
          <w:rFonts w:eastAsia="Calibri"/>
          <w:szCs w:val="24"/>
        </w:rPr>
        <w:t xml:space="preserve"> </w:t>
      </w:r>
      <w:r>
        <w:rPr>
          <w:rFonts w:eastAsia="Calibri"/>
          <w:szCs w:val="24"/>
        </w:rPr>
        <w:t xml:space="preserve">growth was calculated weekly </w:t>
      </w:r>
      <w:r w:rsidRPr="009C58EB">
        <w:rPr>
          <w:rFonts w:eastAsia="Calibri"/>
          <w:szCs w:val="24"/>
        </w:rPr>
        <w:t>by bilateral calip</w:t>
      </w:r>
      <w:r>
        <w:rPr>
          <w:rFonts w:eastAsia="Calibri"/>
          <w:szCs w:val="24"/>
        </w:rPr>
        <w:t xml:space="preserve">er measurement (length x width) and mice </w:t>
      </w:r>
      <w:r>
        <w:rPr>
          <w:rFonts w:eastAsia="Calibri"/>
          <w:color w:val="000000"/>
          <w:szCs w:val="24"/>
        </w:rPr>
        <w:t>randomised into vehicle or treatment groups with approximate mean start size of 0.2 to 0.4 cm</w:t>
      </w:r>
      <w:r w:rsidRPr="006D286E">
        <w:rPr>
          <w:rFonts w:eastAsia="Calibri"/>
          <w:color w:val="000000"/>
          <w:szCs w:val="24"/>
          <w:vertAlign w:val="superscript"/>
        </w:rPr>
        <w:t>3</w:t>
      </w:r>
      <w:r>
        <w:rPr>
          <w:rFonts w:eastAsia="Calibri"/>
          <w:color w:val="000000"/>
          <w:szCs w:val="24"/>
        </w:rPr>
        <w:t xml:space="preserve"> for efficacy studies or  0.5 to 0.8 cm</w:t>
      </w:r>
      <w:r w:rsidRPr="006D286E">
        <w:rPr>
          <w:rFonts w:eastAsia="Calibri"/>
          <w:color w:val="000000"/>
          <w:szCs w:val="24"/>
          <w:vertAlign w:val="superscript"/>
        </w:rPr>
        <w:t>3</w:t>
      </w:r>
      <w:r>
        <w:rPr>
          <w:rFonts w:eastAsia="Calibri"/>
          <w:color w:val="000000"/>
          <w:szCs w:val="24"/>
        </w:rPr>
        <w:t xml:space="preserve"> for PD studies. Mice were dosed once daily by oral gavage or subcutaneous (s.c.) injection for fulvestrant at the times and doses indicated for the duration of the treatment period. Tumour growth inhibition from start of treatment was assessed by comparison of the mean change in tumour volume for the control and treated groups. Statistical significance was evaluated using a one-tailed Student </w:t>
      </w:r>
      <w:r w:rsidRPr="006D286E">
        <w:rPr>
          <w:rFonts w:eastAsia="Calibri"/>
          <w:i/>
          <w:color w:val="000000"/>
          <w:szCs w:val="24"/>
        </w:rPr>
        <w:t>t</w:t>
      </w:r>
      <w:r>
        <w:rPr>
          <w:rFonts w:eastAsia="Calibri"/>
          <w:color w:val="000000"/>
          <w:szCs w:val="24"/>
        </w:rPr>
        <w:t xml:space="preserve"> test. Tumours were excised at specific time points and fragments either fixed in 10% buffered formalin or snap-frozen in liquid nitrogen and stored at -80 </w:t>
      </w:r>
      <w:r w:rsidRPr="00C20EFF">
        <w:rPr>
          <w:rFonts w:eastAsia="Calibri"/>
          <w:color w:val="000000"/>
          <w:szCs w:val="24"/>
          <w:vertAlign w:val="superscript"/>
        </w:rPr>
        <w:t>o</w:t>
      </w:r>
      <w:r>
        <w:rPr>
          <w:rFonts w:eastAsia="Calibri"/>
          <w:color w:val="000000"/>
          <w:szCs w:val="24"/>
        </w:rPr>
        <w:t>C and terminal bleeds plasma PK samples collected. Measurement of estradiol levels in mouse plasma from the MCF-7 xenograft model with implanted estrogen pellets was done using a custom-made immunoassay kit from Meso scale Discovery (MSD).</w:t>
      </w:r>
    </w:p>
    <w:p w:rsidR="005A74CA" w:rsidRPr="00273123" w:rsidRDefault="005A74CA" w:rsidP="005A74CA">
      <w:pPr>
        <w:pStyle w:val="patentnorm"/>
        <w:widowControl/>
        <w:spacing w:line="480" w:lineRule="auto"/>
        <w:rPr>
          <w:rFonts w:eastAsia="Calibri"/>
          <w:color w:val="000000"/>
          <w:szCs w:val="24"/>
        </w:rPr>
      </w:pPr>
    </w:p>
    <w:p w:rsidR="005A74CA" w:rsidRPr="00696BDA" w:rsidRDefault="005A74CA" w:rsidP="005A74CA">
      <w:pPr>
        <w:spacing w:line="480" w:lineRule="auto"/>
        <w:rPr>
          <w:rFonts w:ascii="Times New Roman" w:eastAsia="Calibri" w:hAnsi="Times New Roman" w:cs="Times New Roman"/>
          <w:b/>
          <w:color w:val="000000"/>
          <w:sz w:val="24"/>
        </w:rPr>
      </w:pPr>
      <w:r w:rsidRPr="00696BDA">
        <w:rPr>
          <w:rFonts w:ascii="Times New Roman" w:eastAsia="Calibri" w:hAnsi="Times New Roman" w:cs="Times New Roman"/>
          <w:b/>
          <w:color w:val="000000"/>
          <w:sz w:val="24"/>
        </w:rPr>
        <w:t>Tumour protein analysis</w:t>
      </w:r>
    </w:p>
    <w:p w:rsidR="005A74CA" w:rsidRDefault="005A74CA" w:rsidP="005A74CA">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sz w:val="24"/>
        </w:rPr>
        <w:lastRenderedPageBreak/>
        <w:t>T</w:t>
      </w:r>
      <w:r w:rsidRPr="009C58EB">
        <w:rPr>
          <w:rFonts w:ascii="Times New Roman" w:eastAsia="Calibri" w:hAnsi="Times New Roman" w:cs="Times New Roman"/>
          <w:sz w:val="24"/>
        </w:rPr>
        <w:t>umour fragments were added to Cell Extraction buffer (</w:t>
      </w:r>
      <w:r>
        <w:rPr>
          <w:rFonts w:ascii="Times New Roman" w:eastAsia="Calibri" w:hAnsi="Times New Roman" w:cs="Times New Roman"/>
          <w:sz w:val="24"/>
        </w:rPr>
        <w:t xml:space="preserve">Invitrogen: </w:t>
      </w:r>
      <w:r w:rsidRPr="009C58EB">
        <w:rPr>
          <w:rFonts w:ascii="Times New Roman" w:eastAsia="Calibri" w:hAnsi="Times New Roman" w:cs="Times New Roman"/>
          <w:sz w:val="24"/>
        </w:rPr>
        <w:t xml:space="preserve">FNN0011) with added </w:t>
      </w:r>
      <w:r w:rsidRPr="009C58EB">
        <w:rPr>
          <w:rFonts w:ascii="Times New Roman" w:eastAsia="Calibri" w:hAnsi="Times New Roman" w:cs="Times New Roman"/>
          <w:bCs/>
          <w:sz w:val="24"/>
          <w:szCs w:val="24"/>
        </w:rPr>
        <w:t>Sigma Phosphatase inhibitors (No. 2 (P5726) and 3 (P0044) 1 in 100 dilution) and Roche Complete (1</w:t>
      </w:r>
      <w:r>
        <w:rPr>
          <w:rFonts w:ascii="Times New Roman" w:eastAsia="Calibri" w:hAnsi="Times New Roman" w:cs="Times New Roman"/>
          <w:bCs/>
          <w:sz w:val="24"/>
          <w:szCs w:val="24"/>
        </w:rPr>
        <w:t xml:space="preserve">1836145001) protease inhibitor, </w:t>
      </w:r>
      <w:r w:rsidRPr="009C58EB">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r w:rsidRPr="009C58EB">
        <w:rPr>
          <w:rFonts w:ascii="Times New Roman" w:eastAsia="Calibri" w:hAnsi="Times New Roman" w:cs="Times New Roman"/>
          <w:bCs/>
          <w:sz w:val="24"/>
          <w:szCs w:val="24"/>
        </w:rPr>
        <w:t>mM DTT</w:t>
      </w:r>
      <w:r w:rsidRPr="009C58EB">
        <w:rPr>
          <w:rFonts w:ascii="Times New Roman" w:eastAsia="Calibri" w:hAnsi="Times New Roman" w:cs="Times New Roman"/>
          <w:bCs/>
          <w:sz w:val="24"/>
        </w:rPr>
        <w:t xml:space="preserve"> </w:t>
      </w:r>
      <w:r>
        <w:rPr>
          <w:rFonts w:ascii="Times New Roman" w:eastAsia="Calibri" w:hAnsi="Times New Roman" w:cs="Times New Roman"/>
          <w:bCs/>
          <w:sz w:val="24"/>
        </w:rPr>
        <w:t xml:space="preserve">and homogenised, sonicated, and </w:t>
      </w:r>
      <w:r>
        <w:rPr>
          <w:rFonts w:ascii="Times New Roman" w:eastAsia="Calibri" w:hAnsi="Times New Roman" w:cs="Times New Roman"/>
          <w:bCs/>
          <w:sz w:val="24"/>
          <w:szCs w:val="24"/>
        </w:rPr>
        <w:t xml:space="preserve">centrifuged </w:t>
      </w:r>
      <w:r w:rsidRPr="001B3461">
        <w:rPr>
          <w:rFonts w:ascii="Times New Roman" w:eastAsia="Calibri" w:hAnsi="Times New Roman" w:cs="Times New Roman"/>
          <w:bCs/>
          <w:sz w:val="24"/>
          <w:szCs w:val="24"/>
        </w:rPr>
        <w:t xml:space="preserve">before </w:t>
      </w:r>
      <w:r w:rsidRPr="001B3461">
        <w:rPr>
          <w:rFonts w:ascii="Times New Roman" w:hAnsi="Times New Roman" w:cs="Times New Roman"/>
          <w:sz w:val="24"/>
          <w:szCs w:val="24"/>
        </w:rPr>
        <w:t>protein quantification with Bradford Reagent (Bio-Rad</w:t>
      </w:r>
      <w:r>
        <w:rPr>
          <w:rFonts w:ascii="Times New Roman" w:hAnsi="Times New Roman" w:cs="Times New Roman"/>
          <w:sz w:val="24"/>
          <w:szCs w:val="24"/>
        </w:rPr>
        <w:t>). E</w:t>
      </w:r>
      <w:r w:rsidRPr="001B3461">
        <w:rPr>
          <w:rFonts w:ascii="Times New Roman" w:hAnsi="Times New Roman" w:cs="Times New Roman"/>
          <w:sz w:val="24"/>
          <w:szCs w:val="24"/>
        </w:rPr>
        <w:t xml:space="preserve">qual protein loadings were run on </w:t>
      </w:r>
      <w:r w:rsidRPr="001B3461">
        <w:rPr>
          <w:rFonts w:ascii="Times New Roman" w:eastAsia="Calibri" w:hAnsi="Times New Roman" w:cs="Times New Roman"/>
          <w:sz w:val="24"/>
          <w:szCs w:val="24"/>
        </w:rPr>
        <w:t>Bis-Tris Criterion gels (4-12% Gels)</w:t>
      </w:r>
      <w:r w:rsidRPr="001B3461">
        <w:rPr>
          <w:rFonts w:ascii="Times New Roman" w:eastAsia="Calibri" w:hAnsi="Times New Roman" w:cs="Times New Roman"/>
          <w:bCs/>
          <w:sz w:val="24"/>
          <w:szCs w:val="24"/>
        </w:rPr>
        <w:t xml:space="preserve"> using standard</w:t>
      </w:r>
      <w:r w:rsidRPr="009C58EB">
        <w:rPr>
          <w:rFonts w:ascii="Times New Roman" w:eastAsia="Calibri" w:hAnsi="Times New Roman" w:cs="Times New Roman"/>
          <w:bCs/>
          <w:sz w:val="24"/>
        </w:rPr>
        <w:t xml:space="preserve"> methods.</w:t>
      </w:r>
      <w:r>
        <w:rPr>
          <w:rFonts w:ascii="Times New Roman" w:eastAsia="Calibri" w:hAnsi="Times New Roman" w:cs="Times New Roman"/>
          <w:bCs/>
          <w:sz w:val="24"/>
        </w:rPr>
        <w:t xml:space="preserve"> Detection of ER and PR protein is as described in previous immunoblotting section. </w:t>
      </w:r>
      <w:r w:rsidRPr="009C58EB">
        <w:rPr>
          <w:rFonts w:ascii="Times New Roman" w:eastAsia="Calibri" w:hAnsi="Times New Roman" w:cs="Times New Roman"/>
          <w:sz w:val="24"/>
        </w:rPr>
        <w:t xml:space="preserve">Vinculin protein levels were measured as a loading control using </w:t>
      </w:r>
      <w:r>
        <w:rPr>
          <w:rFonts w:ascii="Times New Roman" w:eastAsia="Calibri" w:hAnsi="Times New Roman" w:cs="Times New Roman"/>
          <w:color w:val="000000"/>
          <w:sz w:val="24"/>
          <w:szCs w:val="24"/>
        </w:rPr>
        <w:t xml:space="preserve">V931 Sigma (mouse) </w:t>
      </w:r>
      <w:r w:rsidRPr="009C58EB">
        <w:rPr>
          <w:rFonts w:ascii="Times New Roman" w:eastAsia="Calibri" w:hAnsi="Times New Roman" w:cs="Times New Roman"/>
          <w:color w:val="000000"/>
          <w:sz w:val="24"/>
          <w:szCs w:val="24"/>
        </w:rPr>
        <w:t xml:space="preserve">and anti-mouse </w:t>
      </w:r>
      <w:r w:rsidRPr="009C58EB">
        <w:rPr>
          <w:rFonts w:ascii="Times New Roman" w:eastAsia="Calibri" w:hAnsi="Times New Roman" w:cs="Times New Roman"/>
          <w:sz w:val="24"/>
        </w:rPr>
        <w:t>HRP-linked antibody</w:t>
      </w:r>
      <w:r w:rsidRPr="009C58EB">
        <w:rPr>
          <w:rFonts w:ascii="Times New Roman" w:eastAsia="Calibri" w:hAnsi="Times New Roman" w:cs="Times New Roman"/>
          <w:color w:val="000000"/>
          <w:sz w:val="24"/>
          <w:szCs w:val="24"/>
        </w:rPr>
        <w:t>.</w:t>
      </w:r>
      <w:r w:rsidR="005C0D8F">
        <w:rPr>
          <w:rFonts w:ascii="Times New Roman" w:eastAsia="Calibri" w:hAnsi="Times New Roman" w:cs="Times New Roman"/>
          <w:color w:val="000000"/>
          <w:sz w:val="24"/>
          <w:szCs w:val="24"/>
        </w:rPr>
        <w:t xml:space="preserve"> An unpaired two-tailed</w:t>
      </w:r>
      <w:r w:rsidR="005C0D8F" w:rsidRPr="005C0D8F">
        <w:rPr>
          <w:rFonts w:ascii="Times New Roman" w:eastAsia="Calibri" w:hAnsi="Times New Roman" w:cs="Times New Roman"/>
          <w:i/>
          <w:color w:val="000000"/>
          <w:sz w:val="24"/>
          <w:szCs w:val="24"/>
        </w:rPr>
        <w:t xml:space="preserve"> t</w:t>
      </w:r>
      <w:r w:rsidR="005C0D8F">
        <w:rPr>
          <w:rFonts w:ascii="Times New Roman" w:eastAsia="Calibri" w:hAnsi="Times New Roman" w:cs="Times New Roman"/>
          <w:color w:val="000000"/>
          <w:sz w:val="24"/>
          <w:szCs w:val="24"/>
        </w:rPr>
        <w:t xml:space="preserve"> test  was used to examine the statistical differences between the vehicle and treated groups.</w:t>
      </w:r>
    </w:p>
    <w:p w:rsidR="007B29B9" w:rsidRPr="005A74CA" w:rsidRDefault="007B29B9" w:rsidP="005A74CA">
      <w:pPr>
        <w:spacing w:line="480" w:lineRule="auto"/>
        <w:rPr>
          <w:rFonts w:ascii="Times New Roman" w:eastAsia="Calibri" w:hAnsi="Times New Roman" w:cs="Times New Roman"/>
          <w:color w:val="000000"/>
          <w:sz w:val="24"/>
          <w:szCs w:val="24"/>
        </w:rPr>
      </w:pPr>
    </w:p>
    <w:p w:rsidR="005A74CA" w:rsidRPr="004C2D2E" w:rsidRDefault="005A74CA" w:rsidP="005A74CA">
      <w:pPr>
        <w:pStyle w:val="A-ListBullet"/>
        <w:numPr>
          <w:ilvl w:val="0"/>
          <w:numId w:val="0"/>
        </w:numPr>
        <w:tabs>
          <w:tab w:val="left" w:pos="993"/>
        </w:tabs>
        <w:spacing w:after="120" w:line="480" w:lineRule="auto"/>
        <w:rPr>
          <w:b/>
        </w:rPr>
      </w:pPr>
      <w:r w:rsidRPr="004C2D2E">
        <w:rPr>
          <w:b/>
        </w:rPr>
        <w:t>Rat Uterine Model</w:t>
      </w:r>
    </w:p>
    <w:p w:rsidR="005A74CA" w:rsidRDefault="007B29B9" w:rsidP="005A74CA">
      <w:pPr>
        <w:pStyle w:val="A-ListBullet"/>
        <w:numPr>
          <w:ilvl w:val="0"/>
          <w:numId w:val="0"/>
        </w:numPr>
        <w:tabs>
          <w:tab w:val="left" w:pos="993"/>
        </w:tabs>
        <w:spacing w:after="120" w:line="480" w:lineRule="auto"/>
        <w:rPr>
          <w:color w:val="000000"/>
          <w:szCs w:val="24"/>
        </w:rPr>
      </w:pPr>
      <w:r>
        <w:rPr>
          <w:szCs w:val="24"/>
        </w:rPr>
        <w:t>S</w:t>
      </w:r>
      <w:r w:rsidR="005A74CA" w:rsidRPr="009C58EB">
        <w:rPr>
          <w:szCs w:val="24"/>
        </w:rPr>
        <w:t xml:space="preserve">exually immature female Han Wistar rats (Charles River) </w:t>
      </w:r>
      <w:r w:rsidR="005A74CA">
        <w:rPr>
          <w:szCs w:val="24"/>
        </w:rPr>
        <w:t xml:space="preserve">were </w:t>
      </w:r>
      <w:r w:rsidR="005A74CA" w:rsidRPr="009C58EB">
        <w:rPr>
          <w:szCs w:val="24"/>
        </w:rPr>
        <w:t xml:space="preserve">randomised </w:t>
      </w:r>
      <w:r w:rsidR="005A74CA">
        <w:rPr>
          <w:szCs w:val="24"/>
        </w:rPr>
        <w:t xml:space="preserve">and dosed either with vehicle, AZD9496 or tamoxifen </w:t>
      </w:r>
      <w:r w:rsidR="005A74CA" w:rsidRPr="009C58EB">
        <w:rPr>
          <w:szCs w:val="24"/>
        </w:rPr>
        <w:t xml:space="preserve">once </w:t>
      </w:r>
      <w:r w:rsidR="005A74CA">
        <w:rPr>
          <w:szCs w:val="24"/>
        </w:rPr>
        <w:t xml:space="preserve">daily for 3 days by oral gavage or a single s.c dose of fulvestrant. </w:t>
      </w:r>
      <w:r w:rsidR="005A74CA" w:rsidRPr="009C58EB">
        <w:rPr>
          <w:szCs w:val="24"/>
        </w:rPr>
        <w:t xml:space="preserve"> </w:t>
      </w:r>
      <w:r w:rsidR="005A74CA">
        <w:rPr>
          <w:color w:val="000000"/>
          <w:szCs w:val="24"/>
        </w:rPr>
        <w:t>A</w:t>
      </w:r>
      <w:r w:rsidR="005A74CA" w:rsidRPr="009C58EB">
        <w:rPr>
          <w:color w:val="000000"/>
          <w:szCs w:val="24"/>
        </w:rPr>
        <w:t xml:space="preserve">t 24 hours after the final dose of each agent was given, rats were </w:t>
      </w:r>
      <w:r w:rsidR="005A74CA">
        <w:rPr>
          <w:color w:val="000000"/>
          <w:szCs w:val="24"/>
        </w:rPr>
        <w:t>euthani</w:t>
      </w:r>
      <w:r w:rsidR="005A74CA" w:rsidRPr="009C58EB">
        <w:rPr>
          <w:color w:val="000000"/>
          <w:szCs w:val="24"/>
        </w:rPr>
        <w:t>sed</w:t>
      </w:r>
      <w:r w:rsidR="005A74CA">
        <w:rPr>
          <w:color w:val="000000"/>
          <w:szCs w:val="24"/>
        </w:rPr>
        <w:t>, terminal plasma</w:t>
      </w:r>
      <w:r w:rsidR="005A74CA" w:rsidRPr="009C58EB">
        <w:rPr>
          <w:color w:val="000000"/>
          <w:szCs w:val="24"/>
        </w:rPr>
        <w:t xml:space="preserve"> samples collec</w:t>
      </w:r>
      <w:r w:rsidR="005A74CA">
        <w:rPr>
          <w:color w:val="000000"/>
          <w:szCs w:val="24"/>
        </w:rPr>
        <w:t xml:space="preserve">ted and uterine tissue removed </w:t>
      </w:r>
      <w:r w:rsidR="005A74CA" w:rsidRPr="009C58EB">
        <w:rPr>
          <w:color w:val="000000"/>
          <w:szCs w:val="24"/>
        </w:rPr>
        <w:t xml:space="preserve">with both horns intact, </w:t>
      </w:r>
      <w:r w:rsidR="005A74CA">
        <w:rPr>
          <w:color w:val="000000"/>
          <w:szCs w:val="24"/>
        </w:rPr>
        <w:t>blotted dry and weighed</w:t>
      </w:r>
      <w:r w:rsidR="005A74CA" w:rsidRPr="009C58EB">
        <w:rPr>
          <w:color w:val="000000"/>
          <w:szCs w:val="24"/>
        </w:rPr>
        <w:t>.</w:t>
      </w:r>
      <w:r w:rsidR="005A74CA">
        <w:rPr>
          <w:color w:val="000000"/>
          <w:szCs w:val="24"/>
        </w:rPr>
        <w:t xml:space="preserve"> Protein extracts were prepared for immunoblot analysis as described for xenograft studies. </w:t>
      </w:r>
    </w:p>
    <w:p w:rsidR="007B29B9" w:rsidRDefault="007B29B9" w:rsidP="005A74CA">
      <w:pPr>
        <w:pStyle w:val="A-ListBullet"/>
        <w:numPr>
          <w:ilvl w:val="0"/>
          <w:numId w:val="0"/>
        </w:numPr>
        <w:tabs>
          <w:tab w:val="left" w:pos="993"/>
        </w:tabs>
        <w:spacing w:after="120" w:line="480" w:lineRule="auto"/>
        <w:rPr>
          <w:color w:val="000000"/>
          <w:szCs w:val="24"/>
        </w:rPr>
      </w:pPr>
    </w:p>
    <w:p w:rsidR="005A74CA" w:rsidRDefault="005A74CA" w:rsidP="005A74CA">
      <w:pPr>
        <w:pStyle w:val="A-ListBullet"/>
        <w:numPr>
          <w:ilvl w:val="0"/>
          <w:numId w:val="0"/>
        </w:numPr>
        <w:tabs>
          <w:tab w:val="left" w:pos="993"/>
        </w:tabs>
        <w:spacing w:after="120" w:line="480" w:lineRule="auto"/>
        <w:rPr>
          <w:b/>
          <w:color w:val="FF0000"/>
        </w:rPr>
      </w:pPr>
      <w:r w:rsidRPr="009E73C4">
        <w:rPr>
          <w:b/>
        </w:rPr>
        <w:t>Pharmacokinetic studies</w:t>
      </w:r>
      <w:r>
        <w:rPr>
          <w:b/>
        </w:rPr>
        <w:t xml:space="preserve"> </w:t>
      </w:r>
    </w:p>
    <w:p w:rsidR="00C75106" w:rsidRPr="00C75106" w:rsidRDefault="005A74CA" w:rsidP="007B29B9">
      <w:pPr>
        <w:pStyle w:val="A-ListBullet"/>
        <w:numPr>
          <w:ilvl w:val="0"/>
          <w:numId w:val="0"/>
        </w:numPr>
        <w:tabs>
          <w:tab w:val="left" w:pos="993"/>
        </w:tabs>
        <w:spacing w:after="120" w:line="480" w:lineRule="auto"/>
      </w:pPr>
      <w:r w:rsidRPr="009E73C4">
        <w:rPr>
          <w:color w:val="000000"/>
          <w:szCs w:val="24"/>
        </w:rPr>
        <w:t xml:space="preserve">The pharmacokinetics of AZD9496 </w:t>
      </w:r>
      <w:r>
        <w:rPr>
          <w:color w:val="000000"/>
          <w:szCs w:val="24"/>
        </w:rPr>
        <w:t>and its active mouse metabolite was</w:t>
      </w:r>
      <w:r w:rsidRPr="009E73C4">
        <w:rPr>
          <w:color w:val="000000"/>
          <w:szCs w:val="24"/>
        </w:rPr>
        <w:t xml:space="preserve"> investigated using combined data from multiple studies and analysed via population PK modelling. Specific PK studies </w:t>
      </w:r>
      <w:r>
        <w:rPr>
          <w:color w:val="000000"/>
          <w:szCs w:val="24"/>
        </w:rPr>
        <w:t>consisted of IV bolus and PO doses of the parent, and IV bolus dose of the metabolite</w:t>
      </w:r>
      <w:r w:rsidRPr="009E73C4">
        <w:rPr>
          <w:color w:val="000000"/>
          <w:szCs w:val="24"/>
        </w:rPr>
        <w:t xml:space="preserve"> with multiple time points per an</w:t>
      </w:r>
      <w:r>
        <w:rPr>
          <w:color w:val="000000"/>
          <w:szCs w:val="24"/>
        </w:rPr>
        <w:t xml:space="preserve">imal, 2 animals per time point and </w:t>
      </w:r>
      <w:r w:rsidRPr="009E73C4">
        <w:rPr>
          <w:color w:val="000000"/>
          <w:szCs w:val="24"/>
        </w:rPr>
        <w:t>were designed to establish a parent-metabolite pharmacokinetic model.</w:t>
      </w:r>
      <w:r>
        <w:rPr>
          <w:color w:val="000000"/>
          <w:szCs w:val="24"/>
        </w:rPr>
        <w:t xml:space="preserve"> </w:t>
      </w:r>
      <w:r w:rsidRPr="009E73C4">
        <w:rPr>
          <w:color w:val="000000"/>
        </w:rPr>
        <w:t>The concentration of AZD9496 and i</w:t>
      </w:r>
      <w:r>
        <w:rPr>
          <w:color w:val="000000"/>
        </w:rPr>
        <w:t xml:space="preserve">ts active </w:t>
      </w:r>
      <w:r>
        <w:rPr>
          <w:color w:val="000000"/>
        </w:rPr>
        <w:lastRenderedPageBreak/>
        <w:t xml:space="preserve">metabolite in </w:t>
      </w:r>
      <w:r w:rsidRPr="009E73C4">
        <w:rPr>
          <w:color w:val="000000"/>
        </w:rPr>
        <w:t xml:space="preserve">plasma samples was determined within </w:t>
      </w:r>
      <w:r>
        <w:rPr>
          <w:color w:val="000000"/>
        </w:rPr>
        <w:t xml:space="preserve">AstraZeneca </w:t>
      </w:r>
      <w:r w:rsidRPr="009E73C4">
        <w:rPr>
          <w:color w:val="000000"/>
        </w:rPr>
        <w:t>Oncolog</w:t>
      </w:r>
      <w:r>
        <w:rPr>
          <w:color w:val="000000"/>
        </w:rPr>
        <w:t xml:space="preserve">y DMPK. </w:t>
      </w:r>
      <w:r w:rsidRPr="009E73C4">
        <w:rPr>
          <w:color w:val="000000"/>
        </w:rPr>
        <w:t>Samples were analysed fo</w:t>
      </w:r>
      <w:r>
        <w:rPr>
          <w:color w:val="000000"/>
        </w:rPr>
        <w:t xml:space="preserve">r parent and metabolite using </w:t>
      </w:r>
      <w:r w:rsidRPr="009E73C4">
        <w:rPr>
          <w:color w:val="000000"/>
        </w:rPr>
        <w:t>LC-MS/MS detection</w:t>
      </w:r>
      <w:r>
        <w:rPr>
          <w:color w:val="000000"/>
        </w:rPr>
        <w:t xml:space="preserve"> using analytical </w:t>
      </w:r>
      <w:r>
        <w:t xml:space="preserve">standards over a </w:t>
      </w:r>
      <w:r w:rsidRPr="009E73C4">
        <w:t>final concentration range of 1</w:t>
      </w:r>
      <w:r>
        <w:t xml:space="preserve"> </w:t>
      </w:r>
      <w:r w:rsidRPr="009E73C4">
        <w:t>nM – 10,000</w:t>
      </w:r>
      <w:r>
        <w:t xml:space="preserve"> nM </w:t>
      </w:r>
      <w:r w:rsidRPr="009E73C4">
        <w:t xml:space="preserve">before </w:t>
      </w:r>
      <w:r>
        <w:t xml:space="preserve">being </w:t>
      </w:r>
      <w:r w:rsidRPr="009E73C4">
        <w:t>analysed using Massly</w:t>
      </w:r>
      <w:r w:rsidR="007B29B9">
        <w:t>nx and processed using Quanlynx.</w:t>
      </w:r>
    </w:p>
    <w:sectPr w:rsidR="00C75106" w:rsidRPr="00C75106" w:rsidSect="00EC21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089C"/>
    <w:multiLevelType w:val="multilevel"/>
    <w:tmpl w:val="FAE855D6"/>
    <w:lvl w:ilvl="0">
      <w:start w:val="1"/>
      <w:numFmt w:val="decimal"/>
      <w:pStyle w:val="A-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5106"/>
    <w:rsid w:val="000A4A05"/>
    <w:rsid w:val="000A58D1"/>
    <w:rsid w:val="0023695C"/>
    <w:rsid w:val="00282860"/>
    <w:rsid w:val="002B09D6"/>
    <w:rsid w:val="004106B9"/>
    <w:rsid w:val="005A74CA"/>
    <w:rsid w:val="005C0D8F"/>
    <w:rsid w:val="006F35B2"/>
    <w:rsid w:val="00756431"/>
    <w:rsid w:val="007B29B9"/>
    <w:rsid w:val="00850908"/>
    <w:rsid w:val="00C75106"/>
    <w:rsid w:val="00DF1C36"/>
    <w:rsid w:val="00E525EE"/>
    <w:rsid w:val="00EC21DD"/>
    <w:rsid w:val="00EE5E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entnorm">
    <w:name w:val="patentnorm"/>
    <w:basedOn w:val="Normal"/>
    <w:rsid w:val="00282860"/>
    <w:pPr>
      <w:widowControl w:val="0"/>
      <w:overflowPunct w:val="0"/>
      <w:autoSpaceDE w:val="0"/>
      <w:autoSpaceDN w:val="0"/>
      <w:adjustRightInd w:val="0"/>
      <w:spacing w:after="0" w:line="360" w:lineRule="auto"/>
    </w:pPr>
    <w:rPr>
      <w:rFonts w:ascii="Times New Roman" w:eastAsia="Times New Roman" w:hAnsi="Times New Roman" w:cs="Times New Roman"/>
      <w:sz w:val="24"/>
      <w:szCs w:val="20"/>
    </w:rPr>
  </w:style>
  <w:style w:type="paragraph" w:customStyle="1" w:styleId="A-ListBullet">
    <w:name w:val="A-List Bullet"/>
    <w:rsid w:val="005A74CA"/>
    <w:pPr>
      <w:numPr>
        <w:numId w:val="1"/>
      </w:numPr>
      <w:spacing w:after="240" w:line="280" w:lineRule="atLeast"/>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axmice.jax.org/strain/00555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AZ</cp:lastModifiedBy>
  <cp:revision>7</cp:revision>
  <dcterms:created xsi:type="dcterms:W3CDTF">2016-01-04T12:07:00Z</dcterms:created>
  <dcterms:modified xsi:type="dcterms:W3CDTF">2016-01-05T11:27:00Z</dcterms:modified>
</cp:coreProperties>
</file>