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D9" w:rsidRPr="00503D2A" w:rsidRDefault="009830C7" w:rsidP="002441D9">
      <w:pPr>
        <w:spacing w:line="480" w:lineRule="auto"/>
        <w:jc w:val="both"/>
        <w:rPr>
          <w:b/>
          <w:sz w:val="28"/>
          <w:szCs w:val="28"/>
          <w:lang w:val="en-US"/>
        </w:rPr>
      </w:pPr>
      <w:r>
        <w:rPr>
          <w:b/>
          <w:sz w:val="28"/>
          <w:szCs w:val="28"/>
          <w:lang w:val="en-US"/>
        </w:rPr>
        <w:t xml:space="preserve">Supplementary </w:t>
      </w:r>
      <w:r w:rsidR="002441D9" w:rsidRPr="00503D2A">
        <w:rPr>
          <w:b/>
          <w:sz w:val="28"/>
          <w:szCs w:val="28"/>
          <w:lang w:val="en-US"/>
        </w:rPr>
        <w:t xml:space="preserve">Materials and Methods </w:t>
      </w:r>
    </w:p>
    <w:p w:rsidR="00387AAD" w:rsidRDefault="00387AAD" w:rsidP="00387AAD">
      <w:pPr>
        <w:spacing w:line="480" w:lineRule="auto"/>
        <w:jc w:val="both"/>
        <w:rPr>
          <w:sz w:val="22"/>
          <w:szCs w:val="22"/>
          <w:lang w:val="en-US"/>
        </w:rPr>
      </w:pPr>
      <w:r w:rsidRPr="00387AAD">
        <w:rPr>
          <w:b/>
          <w:sz w:val="22"/>
          <w:szCs w:val="22"/>
          <w:lang w:val="en-US"/>
        </w:rPr>
        <w:t>DNA extraction</w:t>
      </w:r>
      <w:r w:rsidRPr="004C49DB">
        <w:rPr>
          <w:sz w:val="22"/>
          <w:szCs w:val="22"/>
          <w:lang w:val="en-US"/>
        </w:rPr>
        <w:t xml:space="preserve"> </w:t>
      </w:r>
    </w:p>
    <w:p w:rsidR="00387AAD" w:rsidRDefault="00387AAD" w:rsidP="00387AAD">
      <w:pPr>
        <w:spacing w:line="480" w:lineRule="auto"/>
        <w:jc w:val="both"/>
        <w:rPr>
          <w:sz w:val="22"/>
          <w:szCs w:val="22"/>
          <w:lang w:val="en-US"/>
        </w:rPr>
      </w:pPr>
      <w:r w:rsidRPr="008E7894">
        <w:rPr>
          <w:sz w:val="22"/>
          <w:szCs w:val="22"/>
          <w:lang w:val="en-US"/>
        </w:rPr>
        <w:t xml:space="preserve">We also evaluated DNA and RNA from lung primary tumors and blood (or normal lung tissues) from 108 patients diagnosed with LSCCs. </w:t>
      </w:r>
      <w:r w:rsidRPr="004C49DB">
        <w:rPr>
          <w:sz w:val="22"/>
          <w:szCs w:val="22"/>
          <w:lang w:val="en-US"/>
        </w:rPr>
        <w:t>For genomic DNA extraction, freshly frozen tissue from tumors was meticulously dissected to ensure enriched material comprising at least 40% tumor cells. Approximately 10-20-μm sections were collected from normal and tumor samples and placed in 1% SDS/</w:t>
      </w:r>
      <w:proofErr w:type="spellStart"/>
      <w:r w:rsidRPr="004C49DB">
        <w:rPr>
          <w:sz w:val="22"/>
          <w:szCs w:val="22"/>
          <w:lang w:val="en-US"/>
        </w:rPr>
        <w:t>proteinase</w:t>
      </w:r>
      <w:proofErr w:type="spellEnd"/>
      <w:r w:rsidRPr="004C49DB">
        <w:rPr>
          <w:sz w:val="22"/>
          <w:szCs w:val="22"/>
          <w:lang w:val="en-US"/>
        </w:rPr>
        <w:t xml:space="preserve"> K (10 mg/ml) at 58ºC overnight. Digested tissue was then subjected to phenol–chloroform extraction and ethanol precipitation, following standard protocols. Available slides were reviewed and classified according to WHO criteria and informed consent was obtained from each patient.</w:t>
      </w:r>
    </w:p>
    <w:p w:rsidR="00263AE8" w:rsidRDefault="00263AE8" w:rsidP="00263AE8">
      <w:pPr>
        <w:spacing w:line="480" w:lineRule="auto"/>
        <w:rPr>
          <w:b/>
          <w:i/>
          <w:sz w:val="22"/>
          <w:szCs w:val="22"/>
          <w:lang w:val="en-US"/>
        </w:rPr>
      </w:pPr>
    </w:p>
    <w:p w:rsidR="002441D9" w:rsidRPr="004C49DB" w:rsidRDefault="00263AE8" w:rsidP="002441D9">
      <w:pPr>
        <w:spacing w:line="480" w:lineRule="auto"/>
        <w:rPr>
          <w:b/>
          <w:sz w:val="22"/>
          <w:szCs w:val="22"/>
          <w:lang w:val="en-US"/>
        </w:rPr>
      </w:pPr>
      <w:r w:rsidRPr="00CC5AAD">
        <w:rPr>
          <w:b/>
          <w:i/>
          <w:sz w:val="22"/>
          <w:szCs w:val="22"/>
          <w:lang w:val="en-US"/>
        </w:rPr>
        <w:t xml:space="preserve">PARD3 </w:t>
      </w:r>
      <w:r w:rsidRPr="00CC5AAD">
        <w:rPr>
          <w:b/>
          <w:sz w:val="22"/>
          <w:szCs w:val="22"/>
          <w:lang w:val="en-US"/>
        </w:rPr>
        <w:t>direct sequencing</w:t>
      </w:r>
      <w:r>
        <w:rPr>
          <w:b/>
          <w:sz w:val="22"/>
          <w:szCs w:val="22"/>
          <w:lang w:val="en-US"/>
        </w:rPr>
        <w:t xml:space="preserve"> and l</w:t>
      </w:r>
      <w:r w:rsidR="002441D9" w:rsidRPr="004C49DB">
        <w:rPr>
          <w:b/>
          <w:sz w:val="22"/>
          <w:szCs w:val="22"/>
          <w:lang w:val="en-US"/>
        </w:rPr>
        <w:t xml:space="preserve">oss of </w:t>
      </w:r>
      <w:proofErr w:type="spellStart"/>
      <w:r w:rsidR="002441D9" w:rsidRPr="004C49DB">
        <w:rPr>
          <w:b/>
          <w:sz w:val="22"/>
          <w:szCs w:val="22"/>
          <w:lang w:val="en-US"/>
        </w:rPr>
        <w:t>heterozygosity</w:t>
      </w:r>
      <w:proofErr w:type="spellEnd"/>
      <w:r w:rsidR="002441D9" w:rsidRPr="004C49DB">
        <w:rPr>
          <w:b/>
          <w:sz w:val="22"/>
          <w:szCs w:val="22"/>
          <w:lang w:val="en-US"/>
        </w:rPr>
        <w:t xml:space="preserve"> analysis </w:t>
      </w:r>
    </w:p>
    <w:p w:rsidR="002441D9" w:rsidRPr="004C49DB" w:rsidRDefault="002441D9" w:rsidP="002441D9">
      <w:pPr>
        <w:spacing w:line="480" w:lineRule="auto"/>
        <w:jc w:val="both"/>
        <w:rPr>
          <w:sz w:val="22"/>
          <w:szCs w:val="22"/>
          <w:lang w:val="en-US"/>
        </w:rPr>
      </w:pPr>
      <w:r w:rsidRPr="004C49DB">
        <w:rPr>
          <w:sz w:val="22"/>
          <w:szCs w:val="22"/>
          <w:lang w:val="en-US"/>
        </w:rPr>
        <w:t xml:space="preserve">We analyzed loss of </w:t>
      </w:r>
      <w:proofErr w:type="spellStart"/>
      <w:r w:rsidRPr="004C49DB">
        <w:rPr>
          <w:sz w:val="22"/>
          <w:szCs w:val="22"/>
          <w:lang w:val="en-US"/>
        </w:rPr>
        <w:t>heterozygosity</w:t>
      </w:r>
      <w:proofErr w:type="spellEnd"/>
      <w:r w:rsidRPr="004C49DB">
        <w:rPr>
          <w:sz w:val="22"/>
          <w:szCs w:val="22"/>
          <w:lang w:val="en-US"/>
        </w:rPr>
        <w:t xml:space="preserve"> (LOH) using three microsatellite markers (D10S1666, D10S1780 and D10S1791) spanning 4 Mb of the short arm of chromosome 10. PCRs were performed using fluorescent-labeled primers and according to the previously described protocol (1). The normal matching genomic DNA from each tumor was used for comparison. Ratios greater than or equal to 1.35 or less than or equal to 0.67 were considered to be unambiguously indicative of LOH. Homozygous cases were considered to be not informative (NI) for LOH.</w:t>
      </w:r>
    </w:p>
    <w:p w:rsidR="00263AE8" w:rsidRPr="004C49DB" w:rsidRDefault="00263AE8" w:rsidP="00263AE8">
      <w:pPr>
        <w:spacing w:line="480" w:lineRule="auto"/>
        <w:jc w:val="both"/>
        <w:rPr>
          <w:sz w:val="22"/>
          <w:szCs w:val="22"/>
          <w:lang w:val="en-US"/>
        </w:rPr>
      </w:pPr>
      <w:r w:rsidRPr="00CC5AAD">
        <w:rPr>
          <w:sz w:val="22"/>
          <w:szCs w:val="22"/>
          <w:lang w:val="en-US"/>
        </w:rPr>
        <w:t>The sequ</w:t>
      </w:r>
      <w:r w:rsidRPr="000E76E9">
        <w:rPr>
          <w:sz w:val="22"/>
          <w:szCs w:val="22"/>
          <w:lang w:val="en-US"/>
        </w:rPr>
        <w:t xml:space="preserve">ence of primers used for the </w:t>
      </w:r>
      <w:r w:rsidR="008B6833" w:rsidRPr="000E76E9">
        <w:rPr>
          <w:sz w:val="22"/>
          <w:szCs w:val="22"/>
          <w:lang w:val="en-US"/>
        </w:rPr>
        <w:t xml:space="preserve">cloning and the </w:t>
      </w:r>
      <w:r w:rsidRPr="000E76E9">
        <w:rPr>
          <w:sz w:val="22"/>
          <w:szCs w:val="22"/>
          <w:lang w:val="en-US"/>
        </w:rPr>
        <w:t xml:space="preserve">mutation screening of the </w:t>
      </w:r>
      <w:r w:rsidRPr="000E76E9">
        <w:rPr>
          <w:i/>
          <w:sz w:val="22"/>
          <w:szCs w:val="22"/>
          <w:lang w:val="en-US"/>
        </w:rPr>
        <w:t>PARD3</w:t>
      </w:r>
      <w:r w:rsidRPr="000E76E9">
        <w:rPr>
          <w:sz w:val="22"/>
          <w:szCs w:val="22"/>
          <w:lang w:val="en-US"/>
        </w:rPr>
        <w:t xml:space="preserve"> gene are provided in Supplementary Table S2. </w:t>
      </w:r>
      <w:r w:rsidR="002B7E4F" w:rsidRPr="000E76E9">
        <w:rPr>
          <w:sz w:val="22"/>
          <w:szCs w:val="22"/>
          <w:lang w:val="en-US"/>
        </w:rPr>
        <w:t>The primers were not</w:t>
      </w:r>
      <w:r w:rsidR="002B7E4F" w:rsidRPr="002B7E4F">
        <w:rPr>
          <w:sz w:val="22"/>
          <w:szCs w:val="22"/>
          <w:lang w:val="en-US"/>
        </w:rPr>
        <w:t xml:space="preserve"> designed to amplify the short variant</w:t>
      </w:r>
      <w:r w:rsidR="00D2014E">
        <w:rPr>
          <w:sz w:val="22"/>
          <w:szCs w:val="22"/>
          <w:lang w:val="en-US"/>
        </w:rPr>
        <w:t>s</w:t>
      </w:r>
      <w:r w:rsidR="002B7E4F">
        <w:rPr>
          <w:sz w:val="22"/>
          <w:szCs w:val="22"/>
          <w:lang w:val="en-US"/>
        </w:rPr>
        <w:t xml:space="preserve"> of the </w:t>
      </w:r>
      <w:r w:rsidR="002B7E4F" w:rsidRPr="002B7E4F">
        <w:rPr>
          <w:i/>
          <w:sz w:val="22"/>
          <w:szCs w:val="22"/>
          <w:lang w:val="en-US"/>
        </w:rPr>
        <w:t>PARD3</w:t>
      </w:r>
      <w:r w:rsidR="002B7E4F">
        <w:rPr>
          <w:sz w:val="22"/>
          <w:szCs w:val="22"/>
          <w:lang w:val="en-US"/>
        </w:rPr>
        <w:t xml:space="preserve"> gene</w:t>
      </w:r>
      <w:r w:rsidR="002B7E4F" w:rsidRPr="002B7E4F">
        <w:rPr>
          <w:sz w:val="22"/>
          <w:szCs w:val="22"/>
          <w:lang w:val="en-US"/>
        </w:rPr>
        <w:t>.</w:t>
      </w:r>
      <w:r w:rsidR="002B7E4F">
        <w:rPr>
          <w:sz w:val="22"/>
          <w:szCs w:val="22"/>
          <w:lang w:val="en-US"/>
        </w:rPr>
        <w:t xml:space="preserve"> </w:t>
      </w:r>
      <w:r w:rsidRPr="00CC5AAD">
        <w:rPr>
          <w:sz w:val="22"/>
          <w:szCs w:val="22"/>
          <w:lang w:val="en-US"/>
        </w:rPr>
        <w:t xml:space="preserve">PCR products were cycle-sequenced using Big Dye Terminator chemistry (Applied </w:t>
      </w:r>
      <w:proofErr w:type="spellStart"/>
      <w:r w:rsidRPr="00CC5AAD">
        <w:rPr>
          <w:sz w:val="22"/>
          <w:szCs w:val="22"/>
          <w:lang w:val="en-US"/>
        </w:rPr>
        <w:t>Biosystems</w:t>
      </w:r>
      <w:proofErr w:type="spellEnd"/>
      <w:r w:rsidRPr="00CC5AAD">
        <w:rPr>
          <w:sz w:val="22"/>
          <w:szCs w:val="22"/>
          <w:lang w:val="en-US"/>
        </w:rPr>
        <w:t xml:space="preserve">, Foster City, CA) with an ABI PRISM 3700 DNA Analyzer (Perkin Elmer </w:t>
      </w:r>
      <w:proofErr w:type="spellStart"/>
      <w:r w:rsidRPr="00CC5AAD">
        <w:rPr>
          <w:sz w:val="22"/>
          <w:szCs w:val="22"/>
          <w:lang w:val="en-US"/>
        </w:rPr>
        <w:t>LifeSiences</w:t>
      </w:r>
      <w:proofErr w:type="spellEnd"/>
      <w:r w:rsidRPr="00CC5AAD">
        <w:rPr>
          <w:sz w:val="22"/>
          <w:szCs w:val="22"/>
          <w:lang w:val="en-US"/>
        </w:rPr>
        <w:t xml:space="preserve">, Inc., Boston, MA). All of the variants identified in the study were confirmed by the </w:t>
      </w:r>
      <w:proofErr w:type="spellStart"/>
      <w:r w:rsidRPr="00CC5AAD">
        <w:rPr>
          <w:sz w:val="22"/>
          <w:szCs w:val="22"/>
          <w:lang w:val="en-US"/>
        </w:rPr>
        <w:t>resequencing</w:t>
      </w:r>
      <w:proofErr w:type="spellEnd"/>
      <w:r w:rsidRPr="00CC5AAD">
        <w:rPr>
          <w:sz w:val="22"/>
          <w:szCs w:val="22"/>
          <w:lang w:val="en-US"/>
        </w:rPr>
        <w:t xml:space="preserve"> of independent PCR products. </w:t>
      </w:r>
    </w:p>
    <w:p w:rsidR="00E063A5" w:rsidRPr="00C325F1" w:rsidRDefault="00E063A5" w:rsidP="00E063A5">
      <w:pPr>
        <w:rPr>
          <w:lang w:val="en-US"/>
        </w:rPr>
      </w:pPr>
    </w:p>
    <w:p w:rsidR="00583FEB" w:rsidRDefault="00583FEB" w:rsidP="002441D9">
      <w:pPr>
        <w:spacing w:line="480" w:lineRule="auto"/>
        <w:jc w:val="both"/>
        <w:rPr>
          <w:b/>
          <w:sz w:val="22"/>
          <w:szCs w:val="22"/>
          <w:lang w:val="en-US"/>
        </w:rPr>
      </w:pPr>
    </w:p>
    <w:p w:rsidR="009E01A0" w:rsidRDefault="009E01A0" w:rsidP="002441D9">
      <w:pPr>
        <w:spacing w:line="480" w:lineRule="auto"/>
        <w:jc w:val="both"/>
        <w:rPr>
          <w:b/>
          <w:sz w:val="22"/>
          <w:szCs w:val="22"/>
          <w:lang w:val="en-US"/>
        </w:rPr>
      </w:pPr>
    </w:p>
    <w:p w:rsidR="002441D9" w:rsidRPr="002E6F22" w:rsidRDefault="00E921EC" w:rsidP="002441D9">
      <w:pPr>
        <w:spacing w:line="480" w:lineRule="auto"/>
        <w:jc w:val="both"/>
        <w:rPr>
          <w:b/>
          <w:sz w:val="22"/>
          <w:szCs w:val="22"/>
          <w:lang w:val="en-US"/>
        </w:rPr>
      </w:pPr>
      <w:proofErr w:type="spellStart"/>
      <w:r>
        <w:rPr>
          <w:b/>
          <w:sz w:val="22"/>
          <w:szCs w:val="22"/>
          <w:lang w:val="en-US"/>
        </w:rPr>
        <w:lastRenderedPageBreak/>
        <w:t>Methylation</w:t>
      </w:r>
      <w:proofErr w:type="spellEnd"/>
      <w:r>
        <w:rPr>
          <w:b/>
          <w:sz w:val="22"/>
          <w:szCs w:val="22"/>
          <w:lang w:val="en-US"/>
        </w:rPr>
        <w:t xml:space="preserve"> specific and </w:t>
      </w:r>
      <w:r w:rsidR="002441D9" w:rsidRPr="002E6F22">
        <w:rPr>
          <w:b/>
          <w:sz w:val="22"/>
          <w:szCs w:val="22"/>
          <w:lang w:val="en-US"/>
        </w:rPr>
        <w:t xml:space="preserve">Multiplex ligation-dependent probe amplification analysis </w:t>
      </w:r>
      <w:r>
        <w:rPr>
          <w:b/>
          <w:sz w:val="22"/>
          <w:szCs w:val="22"/>
          <w:lang w:val="en-US"/>
        </w:rPr>
        <w:t xml:space="preserve">(MS-MLPA) </w:t>
      </w:r>
      <w:r w:rsidR="002441D9" w:rsidRPr="002E6F22">
        <w:rPr>
          <w:b/>
          <w:sz w:val="22"/>
          <w:szCs w:val="22"/>
          <w:lang w:val="en-US"/>
        </w:rPr>
        <w:t>of PARD3</w:t>
      </w:r>
    </w:p>
    <w:p w:rsidR="00E063A5" w:rsidRDefault="009671D8" w:rsidP="002441D9">
      <w:pPr>
        <w:spacing w:line="480" w:lineRule="auto"/>
        <w:jc w:val="both"/>
        <w:rPr>
          <w:sz w:val="22"/>
          <w:szCs w:val="22"/>
          <w:lang w:val="en-US"/>
        </w:rPr>
      </w:pPr>
      <w:r w:rsidRPr="00E86F94">
        <w:rPr>
          <w:sz w:val="22"/>
          <w:szCs w:val="22"/>
          <w:lang w:val="en-US"/>
        </w:rPr>
        <w:t xml:space="preserve">After the MS-MLPA reaction, fragments were separated on an ABI 3130XL apparatus (Applied </w:t>
      </w:r>
      <w:proofErr w:type="spellStart"/>
      <w:r w:rsidRPr="00E86F94">
        <w:rPr>
          <w:sz w:val="22"/>
          <w:szCs w:val="22"/>
          <w:lang w:val="en-US"/>
        </w:rPr>
        <w:t>Biosystems</w:t>
      </w:r>
      <w:proofErr w:type="spellEnd"/>
      <w:r w:rsidRPr="00E86F94">
        <w:rPr>
          <w:sz w:val="22"/>
          <w:szCs w:val="22"/>
          <w:lang w:val="en-US"/>
        </w:rPr>
        <w:t>). MLPA fragment analysis and comparative analysis were performe</w:t>
      </w:r>
      <w:r>
        <w:rPr>
          <w:sz w:val="22"/>
          <w:szCs w:val="22"/>
          <w:lang w:val="en-US"/>
        </w:rPr>
        <w:t>d using Coffalyser.Net software.</w:t>
      </w:r>
      <w:r w:rsidR="00E921EC">
        <w:rPr>
          <w:sz w:val="22"/>
          <w:szCs w:val="22"/>
          <w:lang w:val="en-US"/>
        </w:rPr>
        <w:t xml:space="preserve"> </w:t>
      </w:r>
      <w:r w:rsidR="002441D9" w:rsidRPr="004C49DB">
        <w:rPr>
          <w:sz w:val="22"/>
          <w:szCs w:val="22"/>
          <w:lang w:val="en-US"/>
        </w:rPr>
        <w:t>Th</w:t>
      </w:r>
      <w:r w:rsidR="00875685">
        <w:rPr>
          <w:sz w:val="22"/>
          <w:szCs w:val="22"/>
          <w:lang w:val="en-US"/>
        </w:rPr>
        <w:t>e</w:t>
      </w:r>
      <w:r w:rsidR="002441D9" w:rsidRPr="004C49DB">
        <w:rPr>
          <w:sz w:val="22"/>
          <w:szCs w:val="22"/>
          <w:lang w:val="en-US"/>
        </w:rPr>
        <w:t xml:space="preserve"> MS-MLPA </w:t>
      </w:r>
      <w:proofErr w:type="spellStart"/>
      <w:r w:rsidR="002441D9" w:rsidRPr="004C49DB">
        <w:rPr>
          <w:sz w:val="22"/>
          <w:szCs w:val="22"/>
          <w:lang w:val="en-US"/>
        </w:rPr>
        <w:t>probemix</w:t>
      </w:r>
      <w:proofErr w:type="spellEnd"/>
      <w:r w:rsidR="002441D9" w:rsidRPr="004C49DB">
        <w:rPr>
          <w:sz w:val="22"/>
          <w:szCs w:val="22"/>
          <w:lang w:val="en-US"/>
        </w:rPr>
        <w:t xml:space="preserve"> contains four probes with an </w:t>
      </w:r>
      <w:proofErr w:type="spellStart"/>
      <w:r w:rsidR="002441D9" w:rsidRPr="004C49DB">
        <w:rPr>
          <w:sz w:val="22"/>
          <w:szCs w:val="22"/>
          <w:lang w:val="en-US"/>
        </w:rPr>
        <w:t>HhaI</w:t>
      </w:r>
      <w:proofErr w:type="spellEnd"/>
      <w:r w:rsidR="002441D9" w:rsidRPr="004C49DB">
        <w:rPr>
          <w:sz w:val="22"/>
          <w:szCs w:val="22"/>
          <w:lang w:val="en-US"/>
        </w:rPr>
        <w:t xml:space="preserve"> recognition site for detecting the </w:t>
      </w:r>
      <w:proofErr w:type="spellStart"/>
      <w:r w:rsidR="002441D9" w:rsidRPr="004C49DB">
        <w:rPr>
          <w:sz w:val="22"/>
          <w:szCs w:val="22"/>
          <w:lang w:val="en-US"/>
        </w:rPr>
        <w:t>methylation</w:t>
      </w:r>
      <w:proofErr w:type="spellEnd"/>
      <w:r w:rsidR="002441D9" w:rsidRPr="004C49DB">
        <w:rPr>
          <w:sz w:val="22"/>
          <w:szCs w:val="22"/>
          <w:lang w:val="en-US"/>
        </w:rPr>
        <w:t xml:space="preserve"> status of the promoter region of the </w:t>
      </w:r>
      <w:r w:rsidR="002441D9" w:rsidRPr="00440CC8">
        <w:rPr>
          <w:i/>
          <w:sz w:val="22"/>
          <w:szCs w:val="22"/>
          <w:lang w:val="en-US"/>
        </w:rPr>
        <w:t>PARD3</w:t>
      </w:r>
      <w:r w:rsidR="002441D9" w:rsidRPr="004C49DB">
        <w:rPr>
          <w:sz w:val="22"/>
          <w:szCs w:val="22"/>
          <w:lang w:val="en-US"/>
        </w:rPr>
        <w:t xml:space="preserve"> gene and 15 probes for detecting the PARD3 copy number status. In addition, 11 reference probes were included that were located at genomic regions known to be relatively silent in lung cancer. In short, for both patient and reference samples, 100 </w:t>
      </w:r>
      <w:proofErr w:type="spellStart"/>
      <w:r w:rsidR="002441D9" w:rsidRPr="004C49DB">
        <w:rPr>
          <w:sz w:val="22"/>
          <w:szCs w:val="22"/>
          <w:lang w:val="en-US"/>
        </w:rPr>
        <w:t>ng</w:t>
      </w:r>
      <w:proofErr w:type="spellEnd"/>
      <w:r w:rsidR="002441D9" w:rsidRPr="004C49DB">
        <w:rPr>
          <w:sz w:val="22"/>
          <w:szCs w:val="22"/>
          <w:lang w:val="en-US"/>
        </w:rPr>
        <w:t xml:space="preserve"> of genomic DNA were denatured and SALSA MLPA buffer and MS-MLPA </w:t>
      </w:r>
      <w:proofErr w:type="spellStart"/>
      <w:r w:rsidR="002441D9" w:rsidRPr="004C49DB">
        <w:rPr>
          <w:sz w:val="22"/>
          <w:szCs w:val="22"/>
          <w:lang w:val="en-US"/>
        </w:rPr>
        <w:t>probemix</w:t>
      </w:r>
      <w:proofErr w:type="spellEnd"/>
      <w:r w:rsidR="002441D9" w:rsidRPr="004C49DB">
        <w:rPr>
          <w:sz w:val="22"/>
          <w:szCs w:val="22"/>
          <w:lang w:val="en-US"/>
        </w:rPr>
        <w:t xml:space="preserve"> were added. Probes were hybridized overnight </w:t>
      </w:r>
    </w:p>
    <w:p w:rsidR="002441D9" w:rsidRDefault="002441D9" w:rsidP="002441D9">
      <w:pPr>
        <w:spacing w:line="480" w:lineRule="auto"/>
        <w:jc w:val="both"/>
        <w:rPr>
          <w:sz w:val="22"/>
          <w:szCs w:val="22"/>
          <w:lang w:val="en-US"/>
        </w:rPr>
      </w:pPr>
      <w:r w:rsidRPr="004C49DB">
        <w:rPr>
          <w:sz w:val="22"/>
          <w:szCs w:val="22"/>
          <w:lang w:val="en-US"/>
        </w:rPr>
        <w:t>(~16 h) at 60°C. The mixture was then diluted at RT with H</w:t>
      </w:r>
      <w:r w:rsidRPr="00440CC8">
        <w:rPr>
          <w:sz w:val="22"/>
          <w:szCs w:val="22"/>
          <w:vertAlign w:val="subscript"/>
          <w:lang w:val="en-US"/>
        </w:rPr>
        <w:t>2</w:t>
      </w:r>
      <w:r w:rsidRPr="004C49DB">
        <w:rPr>
          <w:sz w:val="22"/>
          <w:szCs w:val="22"/>
          <w:lang w:val="en-US"/>
        </w:rPr>
        <w:t xml:space="preserve">O and </w:t>
      </w:r>
      <w:proofErr w:type="spellStart"/>
      <w:r w:rsidRPr="004C49DB">
        <w:rPr>
          <w:sz w:val="22"/>
          <w:szCs w:val="22"/>
          <w:lang w:val="en-US"/>
        </w:rPr>
        <w:t>ligase</w:t>
      </w:r>
      <w:proofErr w:type="spellEnd"/>
      <w:r w:rsidRPr="004C49DB">
        <w:rPr>
          <w:sz w:val="22"/>
          <w:szCs w:val="22"/>
          <w:lang w:val="en-US"/>
        </w:rPr>
        <w:t xml:space="preserve"> buffer A, and divided equally between two tubes. A mixture containing ligase-65 (MRC-Holland), </w:t>
      </w:r>
      <w:proofErr w:type="spellStart"/>
      <w:r w:rsidRPr="004C49DB">
        <w:rPr>
          <w:sz w:val="22"/>
          <w:szCs w:val="22"/>
          <w:lang w:val="en-US"/>
        </w:rPr>
        <w:t>HhaI</w:t>
      </w:r>
      <w:proofErr w:type="spellEnd"/>
      <w:r w:rsidRPr="004C49DB">
        <w:rPr>
          <w:sz w:val="22"/>
          <w:szCs w:val="22"/>
          <w:lang w:val="en-US"/>
        </w:rPr>
        <w:t xml:space="preserve"> (</w:t>
      </w:r>
      <w:proofErr w:type="spellStart"/>
      <w:r w:rsidRPr="004C49DB">
        <w:rPr>
          <w:sz w:val="22"/>
          <w:szCs w:val="22"/>
          <w:lang w:val="en-US"/>
        </w:rPr>
        <w:t>Promega</w:t>
      </w:r>
      <w:proofErr w:type="spellEnd"/>
      <w:r w:rsidRPr="004C49DB">
        <w:rPr>
          <w:sz w:val="22"/>
          <w:szCs w:val="22"/>
          <w:lang w:val="en-US"/>
        </w:rPr>
        <w:t xml:space="preserve">) and </w:t>
      </w:r>
      <w:proofErr w:type="spellStart"/>
      <w:r w:rsidRPr="004C49DB">
        <w:rPr>
          <w:sz w:val="22"/>
          <w:szCs w:val="22"/>
          <w:lang w:val="en-US"/>
        </w:rPr>
        <w:t>ligase</w:t>
      </w:r>
      <w:proofErr w:type="spellEnd"/>
      <w:r w:rsidRPr="004C49DB">
        <w:rPr>
          <w:sz w:val="22"/>
          <w:szCs w:val="22"/>
          <w:lang w:val="en-US"/>
        </w:rPr>
        <w:t xml:space="preserve"> buffer B was added to one tube. For the second tube, the </w:t>
      </w:r>
      <w:proofErr w:type="spellStart"/>
      <w:r w:rsidRPr="004C49DB">
        <w:rPr>
          <w:sz w:val="22"/>
          <w:szCs w:val="22"/>
          <w:lang w:val="en-US"/>
        </w:rPr>
        <w:t>HhaI</w:t>
      </w:r>
      <w:proofErr w:type="spellEnd"/>
      <w:r w:rsidRPr="004C49DB">
        <w:rPr>
          <w:sz w:val="22"/>
          <w:szCs w:val="22"/>
          <w:lang w:val="en-US"/>
        </w:rPr>
        <w:t xml:space="preserve"> enzyme was replaced with H</w:t>
      </w:r>
      <w:r w:rsidRPr="00440CC8">
        <w:rPr>
          <w:sz w:val="22"/>
          <w:szCs w:val="22"/>
          <w:vertAlign w:val="subscript"/>
          <w:lang w:val="en-US"/>
        </w:rPr>
        <w:t>2</w:t>
      </w:r>
      <w:r w:rsidRPr="004C49DB">
        <w:rPr>
          <w:sz w:val="22"/>
          <w:szCs w:val="22"/>
          <w:lang w:val="en-US"/>
        </w:rPr>
        <w:t>O. Simultaneous ligation and digestion were then performed by incubating for 30 min at 48°C, followed by 5 min heat inactivation of the enzymes at 98°C. PCR was performed following the manufacturer’s instructions (MRC-Holland).</w:t>
      </w:r>
      <w:r w:rsidRPr="002E6F22">
        <w:rPr>
          <w:sz w:val="22"/>
          <w:szCs w:val="22"/>
          <w:lang w:val="en-US"/>
        </w:rPr>
        <w:t xml:space="preserve"> MLPA fragment analysis and comparative analysis were performed using </w:t>
      </w:r>
      <w:proofErr w:type="spellStart"/>
      <w:r w:rsidRPr="002E6F22">
        <w:rPr>
          <w:sz w:val="22"/>
          <w:szCs w:val="22"/>
          <w:lang w:val="en-US"/>
        </w:rPr>
        <w:t>Coffalyser</w:t>
      </w:r>
      <w:proofErr w:type="spellEnd"/>
      <w:r w:rsidR="00A30A6F">
        <w:rPr>
          <w:sz w:val="22"/>
          <w:szCs w:val="22"/>
          <w:lang w:val="en-US"/>
        </w:rPr>
        <w:t xml:space="preserve"> (2-3)</w:t>
      </w:r>
      <w:r w:rsidRPr="002E6F22">
        <w:rPr>
          <w:sz w:val="22"/>
          <w:szCs w:val="22"/>
          <w:lang w:val="en-US"/>
        </w:rPr>
        <w:t xml:space="preserve">.Net software, which is available at </w:t>
      </w:r>
      <w:hyperlink r:id="rId7" w:history="1">
        <w:r w:rsidRPr="002E6F22">
          <w:rPr>
            <w:rStyle w:val="Hipervnculo"/>
            <w:sz w:val="22"/>
            <w:szCs w:val="22"/>
            <w:lang w:val="en-US"/>
          </w:rPr>
          <w:t>http://www.intechopen.com/books/modern-approaches-to-quality-control/analysis-of-mlpa-data-using-novel-software-coffalyser-net-by-mrc-holland</w:t>
        </w:r>
      </w:hyperlink>
      <w:r w:rsidRPr="002E6F22">
        <w:rPr>
          <w:sz w:val="22"/>
          <w:szCs w:val="22"/>
          <w:lang w:val="en-US"/>
        </w:rPr>
        <w:t>.</w:t>
      </w:r>
    </w:p>
    <w:p w:rsidR="00E063A5" w:rsidRPr="004C49DB" w:rsidRDefault="00E063A5" w:rsidP="002441D9">
      <w:pPr>
        <w:spacing w:line="480" w:lineRule="auto"/>
        <w:jc w:val="both"/>
        <w:rPr>
          <w:sz w:val="22"/>
          <w:szCs w:val="22"/>
          <w:lang w:val="en-US"/>
        </w:rPr>
      </w:pPr>
    </w:p>
    <w:p w:rsidR="00E063A5" w:rsidRPr="004C49DB" w:rsidRDefault="00E063A5" w:rsidP="00E063A5">
      <w:pPr>
        <w:spacing w:line="480" w:lineRule="auto"/>
        <w:jc w:val="both"/>
        <w:rPr>
          <w:b/>
          <w:bCs/>
          <w:sz w:val="22"/>
          <w:szCs w:val="22"/>
          <w:lang w:val="en-US"/>
        </w:rPr>
      </w:pPr>
      <w:proofErr w:type="spellStart"/>
      <w:r w:rsidRPr="004C49DB">
        <w:rPr>
          <w:b/>
          <w:bCs/>
          <w:sz w:val="22"/>
          <w:szCs w:val="22"/>
          <w:lang w:val="en-US"/>
        </w:rPr>
        <w:t>Bisulfite</w:t>
      </w:r>
      <w:proofErr w:type="spellEnd"/>
      <w:r w:rsidRPr="004C49DB">
        <w:rPr>
          <w:b/>
          <w:bCs/>
          <w:sz w:val="22"/>
          <w:szCs w:val="22"/>
          <w:lang w:val="en-US"/>
        </w:rPr>
        <w:t xml:space="preserve"> treatment and </w:t>
      </w:r>
      <w:proofErr w:type="spellStart"/>
      <w:r w:rsidRPr="004C49DB">
        <w:rPr>
          <w:b/>
          <w:bCs/>
          <w:sz w:val="22"/>
          <w:szCs w:val="22"/>
          <w:lang w:val="en-US"/>
        </w:rPr>
        <w:t>bisulfite</w:t>
      </w:r>
      <w:proofErr w:type="spellEnd"/>
      <w:r w:rsidRPr="004C49DB">
        <w:rPr>
          <w:b/>
          <w:bCs/>
          <w:sz w:val="22"/>
          <w:szCs w:val="22"/>
          <w:lang w:val="en-US"/>
        </w:rPr>
        <w:t xml:space="preserve"> genomic sequencing</w:t>
      </w:r>
    </w:p>
    <w:p w:rsidR="00E063A5" w:rsidRDefault="00E063A5" w:rsidP="00E063A5">
      <w:pPr>
        <w:spacing w:line="480" w:lineRule="auto"/>
        <w:jc w:val="both"/>
        <w:rPr>
          <w:sz w:val="22"/>
          <w:szCs w:val="22"/>
          <w:lang w:val="en-US"/>
        </w:rPr>
      </w:pPr>
      <w:r w:rsidRPr="004C49DB">
        <w:rPr>
          <w:sz w:val="22"/>
          <w:szCs w:val="22"/>
          <w:lang w:val="en-US"/>
        </w:rPr>
        <w:t xml:space="preserve">To validate the MS-MLPA data we performed </w:t>
      </w:r>
      <w:proofErr w:type="spellStart"/>
      <w:r w:rsidRPr="004C49DB">
        <w:rPr>
          <w:sz w:val="22"/>
          <w:szCs w:val="22"/>
          <w:lang w:val="en-US"/>
        </w:rPr>
        <w:t>bisulfite</w:t>
      </w:r>
      <w:proofErr w:type="spellEnd"/>
      <w:r w:rsidRPr="004C49DB">
        <w:rPr>
          <w:sz w:val="22"/>
          <w:szCs w:val="22"/>
          <w:lang w:val="en-US"/>
        </w:rPr>
        <w:t xml:space="preserve"> genomic sequencing of the promoter region of </w:t>
      </w:r>
      <w:r w:rsidRPr="004C49DB">
        <w:rPr>
          <w:i/>
          <w:sz w:val="22"/>
          <w:szCs w:val="22"/>
          <w:lang w:val="en-US"/>
        </w:rPr>
        <w:t>PARD3</w:t>
      </w:r>
      <w:r w:rsidRPr="004C49DB">
        <w:rPr>
          <w:sz w:val="22"/>
          <w:szCs w:val="22"/>
          <w:lang w:val="en-US"/>
        </w:rPr>
        <w:t xml:space="preserve">. Genomic DNA was converted using the EZ DNA </w:t>
      </w:r>
      <w:proofErr w:type="spellStart"/>
      <w:r w:rsidRPr="004C49DB">
        <w:rPr>
          <w:sz w:val="22"/>
          <w:szCs w:val="22"/>
          <w:lang w:val="en-US"/>
        </w:rPr>
        <w:t>Methylation</w:t>
      </w:r>
      <w:proofErr w:type="spellEnd"/>
      <w:r w:rsidRPr="004C49DB">
        <w:rPr>
          <w:sz w:val="22"/>
          <w:szCs w:val="22"/>
          <w:lang w:val="en-US"/>
        </w:rPr>
        <w:t xml:space="preserve"> Gold kit (</w:t>
      </w:r>
      <w:proofErr w:type="spellStart"/>
      <w:r w:rsidRPr="004C49DB">
        <w:rPr>
          <w:sz w:val="22"/>
          <w:szCs w:val="22"/>
          <w:lang w:val="en-US"/>
        </w:rPr>
        <w:t>Zymo</w:t>
      </w:r>
      <w:proofErr w:type="spellEnd"/>
      <w:r w:rsidRPr="004C49DB">
        <w:rPr>
          <w:sz w:val="22"/>
          <w:szCs w:val="22"/>
          <w:lang w:val="en-US"/>
        </w:rPr>
        <w:t xml:space="preserve"> Research, Orange, CA). The modified DNA was used as a template for </w:t>
      </w:r>
      <w:proofErr w:type="spellStart"/>
      <w:r w:rsidRPr="004C49DB">
        <w:rPr>
          <w:sz w:val="22"/>
          <w:szCs w:val="22"/>
          <w:lang w:val="en-US"/>
        </w:rPr>
        <w:t>bisulfite</w:t>
      </w:r>
      <w:proofErr w:type="spellEnd"/>
      <w:r w:rsidRPr="004C49DB">
        <w:rPr>
          <w:sz w:val="22"/>
          <w:szCs w:val="22"/>
          <w:lang w:val="en-US"/>
        </w:rPr>
        <w:t xml:space="preserve"> genomic PCR. The PCR products were cloned in the </w:t>
      </w:r>
      <w:proofErr w:type="spellStart"/>
      <w:r w:rsidRPr="004C49DB">
        <w:rPr>
          <w:sz w:val="22"/>
          <w:szCs w:val="22"/>
          <w:lang w:val="en-US"/>
        </w:rPr>
        <w:t>pGEM</w:t>
      </w:r>
      <w:proofErr w:type="spellEnd"/>
      <w:r w:rsidRPr="004C49DB">
        <w:rPr>
          <w:sz w:val="22"/>
          <w:szCs w:val="22"/>
          <w:lang w:val="en-US"/>
        </w:rPr>
        <w:t>-T Easy Vector System (</w:t>
      </w:r>
      <w:proofErr w:type="spellStart"/>
      <w:r w:rsidRPr="004C49DB">
        <w:rPr>
          <w:sz w:val="22"/>
          <w:szCs w:val="22"/>
          <w:lang w:val="en-US"/>
        </w:rPr>
        <w:t>Promega</w:t>
      </w:r>
      <w:proofErr w:type="spellEnd"/>
      <w:r w:rsidRPr="004C49DB">
        <w:rPr>
          <w:sz w:val="22"/>
          <w:szCs w:val="22"/>
          <w:lang w:val="en-US"/>
        </w:rPr>
        <w:t xml:space="preserve">, Madison, WI). A minimum of eight single clones was interrogated for each sample and the </w:t>
      </w:r>
      <w:proofErr w:type="spellStart"/>
      <w:r w:rsidRPr="004C49DB">
        <w:rPr>
          <w:sz w:val="22"/>
          <w:szCs w:val="22"/>
          <w:lang w:val="en-US"/>
        </w:rPr>
        <w:t>methylation</w:t>
      </w:r>
      <w:proofErr w:type="spellEnd"/>
      <w:r w:rsidRPr="004C49DB">
        <w:rPr>
          <w:sz w:val="22"/>
          <w:szCs w:val="22"/>
          <w:lang w:val="en-US"/>
        </w:rPr>
        <w:t xml:space="preserve"> frequency was calculated in each case. The sequence of primers spanning the </w:t>
      </w:r>
      <w:proofErr w:type="spellStart"/>
      <w:r w:rsidRPr="004C49DB">
        <w:rPr>
          <w:sz w:val="22"/>
          <w:szCs w:val="22"/>
          <w:lang w:val="en-US"/>
        </w:rPr>
        <w:t>CpG</w:t>
      </w:r>
      <w:proofErr w:type="spellEnd"/>
      <w:r w:rsidRPr="004C49DB">
        <w:rPr>
          <w:sz w:val="22"/>
          <w:szCs w:val="22"/>
          <w:lang w:val="en-US"/>
        </w:rPr>
        <w:t xml:space="preserve"> island of the </w:t>
      </w:r>
      <w:r w:rsidRPr="004C49DB">
        <w:rPr>
          <w:i/>
          <w:sz w:val="22"/>
          <w:szCs w:val="22"/>
          <w:lang w:val="en-US"/>
        </w:rPr>
        <w:t>PARD3</w:t>
      </w:r>
      <w:r w:rsidRPr="004C49DB">
        <w:rPr>
          <w:sz w:val="22"/>
          <w:szCs w:val="22"/>
          <w:lang w:val="en-US"/>
        </w:rPr>
        <w:t xml:space="preserve"> gene promoter, used for </w:t>
      </w:r>
      <w:proofErr w:type="spellStart"/>
      <w:r w:rsidRPr="004C49DB">
        <w:rPr>
          <w:sz w:val="22"/>
          <w:szCs w:val="22"/>
          <w:lang w:val="en-US"/>
        </w:rPr>
        <w:t>bisulfite</w:t>
      </w:r>
      <w:proofErr w:type="spellEnd"/>
      <w:r w:rsidRPr="004C49DB">
        <w:rPr>
          <w:sz w:val="22"/>
          <w:szCs w:val="22"/>
          <w:lang w:val="en-US"/>
        </w:rPr>
        <w:t xml:space="preserve"> genomic sequencing, is available upon request. </w:t>
      </w:r>
    </w:p>
    <w:p w:rsidR="00E063A5" w:rsidRPr="004C49DB" w:rsidRDefault="00E063A5" w:rsidP="00E063A5">
      <w:pPr>
        <w:spacing w:line="480" w:lineRule="auto"/>
        <w:jc w:val="both"/>
        <w:rPr>
          <w:b/>
          <w:sz w:val="22"/>
          <w:szCs w:val="22"/>
          <w:lang w:val="en-US"/>
        </w:rPr>
      </w:pPr>
      <w:r w:rsidRPr="002E6F22">
        <w:rPr>
          <w:b/>
          <w:sz w:val="22"/>
          <w:szCs w:val="22"/>
          <w:lang w:val="en-US"/>
        </w:rPr>
        <w:lastRenderedPageBreak/>
        <w:t xml:space="preserve">Expression vectors, </w:t>
      </w:r>
      <w:proofErr w:type="spellStart"/>
      <w:r w:rsidRPr="002E6F22">
        <w:rPr>
          <w:b/>
          <w:sz w:val="22"/>
          <w:szCs w:val="22"/>
          <w:lang w:val="en-US"/>
        </w:rPr>
        <w:t>transfections</w:t>
      </w:r>
      <w:proofErr w:type="spellEnd"/>
      <w:r w:rsidRPr="002E6F22">
        <w:rPr>
          <w:b/>
          <w:sz w:val="22"/>
          <w:szCs w:val="22"/>
          <w:lang w:val="en-US"/>
        </w:rPr>
        <w:t xml:space="preserve"> and infections</w:t>
      </w:r>
    </w:p>
    <w:p w:rsidR="000538B5" w:rsidRPr="004C49DB" w:rsidRDefault="000538B5" w:rsidP="000538B5">
      <w:pPr>
        <w:spacing w:line="480" w:lineRule="auto"/>
        <w:jc w:val="both"/>
        <w:rPr>
          <w:sz w:val="22"/>
          <w:szCs w:val="22"/>
          <w:lang w:val="en-US"/>
        </w:rPr>
      </w:pPr>
      <w:r w:rsidRPr="004C49DB">
        <w:rPr>
          <w:sz w:val="22"/>
          <w:szCs w:val="22"/>
          <w:lang w:val="en-US"/>
        </w:rPr>
        <w:t xml:space="preserve">To determine the frequency of the various </w:t>
      </w:r>
      <w:r w:rsidRPr="007C34A8">
        <w:rPr>
          <w:i/>
          <w:sz w:val="22"/>
          <w:szCs w:val="22"/>
          <w:lang w:val="en-US"/>
        </w:rPr>
        <w:t>PARD3</w:t>
      </w:r>
      <w:r w:rsidRPr="004C49DB">
        <w:rPr>
          <w:sz w:val="22"/>
          <w:szCs w:val="22"/>
          <w:lang w:val="en-US"/>
        </w:rPr>
        <w:t xml:space="preserve"> variants we amplified the entire coding sequence of </w:t>
      </w:r>
      <w:r w:rsidRPr="004C49DB">
        <w:rPr>
          <w:i/>
          <w:sz w:val="22"/>
          <w:szCs w:val="22"/>
          <w:lang w:val="en-US"/>
        </w:rPr>
        <w:t>PARD3</w:t>
      </w:r>
      <w:r w:rsidRPr="004C49DB">
        <w:rPr>
          <w:sz w:val="22"/>
          <w:szCs w:val="22"/>
          <w:lang w:val="en-US"/>
        </w:rPr>
        <w:t xml:space="preserve"> by RT-PCR in two separate </w:t>
      </w:r>
      <w:proofErr w:type="spellStart"/>
      <w:r w:rsidRPr="004C49DB">
        <w:rPr>
          <w:sz w:val="22"/>
          <w:szCs w:val="22"/>
          <w:lang w:val="en-US"/>
        </w:rPr>
        <w:t>cDNA</w:t>
      </w:r>
      <w:proofErr w:type="spellEnd"/>
      <w:r w:rsidRPr="004C49DB">
        <w:rPr>
          <w:sz w:val="22"/>
          <w:szCs w:val="22"/>
          <w:lang w:val="en-US"/>
        </w:rPr>
        <w:t xml:space="preserve"> pools, each consisting of a mixture of four </w:t>
      </w:r>
      <w:proofErr w:type="spellStart"/>
      <w:r w:rsidRPr="004C49DB">
        <w:rPr>
          <w:sz w:val="22"/>
          <w:szCs w:val="22"/>
          <w:lang w:val="en-US"/>
        </w:rPr>
        <w:t>cDNA</w:t>
      </w:r>
      <w:proofErr w:type="spellEnd"/>
      <w:r w:rsidRPr="004C49DB">
        <w:rPr>
          <w:sz w:val="22"/>
          <w:szCs w:val="22"/>
          <w:lang w:val="en-US"/>
        </w:rPr>
        <w:t xml:space="preserve"> products from normal RNAs. The amplified products were cloned in a TOPO-TA vector, following the manufacturer’s instructions. Positive colonies were picked, grown and processed using the </w:t>
      </w:r>
      <w:proofErr w:type="spellStart"/>
      <w:r w:rsidRPr="004C49DB">
        <w:rPr>
          <w:sz w:val="22"/>
          <w:szCs w:val="22"/>
          <w:lang w:val="en-US"/>
        </w:rPr>
        <w:t>NucleoSpin</w:t>
      </w:r>
      <w:proofErr w:type="spellEnd"/>
      <w:r w:rsidRPr="004C49DB">
        <w:rPr>
          <w:sz w:val="22"/>
          <w:szCs w:val="22"/>
          <w:lang w:val="en-US"/>
        </w:rPr>
        <w:t xml:space="preserve"> Multi-96 Plus plasmid purification kit (</w:t>
      </w:r>
      <w:proofErr w:type="spellStart"/>
      <w:r w:rsidRPr="004C49DB">
        <w:rPr>
          <w:sz w:val="22"/>
          <w:szCs w:val="22"/>
          <w:lang w:val="en-US"/>
        </w:rPr>
        <w:t>Macherey</w:t>
      </w:r>
      <w:proofErr w:type="spellEnd"/>
      <w:r w:rsidRPr="004C49DB">
        <w:rPr>
          <w:sz w:val="22"/>
          <w:szCs w:val="22"/>
          <w:lang w:val="en-US"/>
        </w:rPr>
        <w:t xml:space="preserve">-Nagel, Bethlehem, PA) and automatically sequenced. More than 80 clones were individually sequenced. </w:t>
      </w:r>
      <w:r>
        <w:rPr>
          <w:rFonts w:eastAsia="MS Mincho"/>
          <w:sz w:val="22"/>
          <w:szCs w:val="22"/>
          <w:lang w:val="en-US" w:eastAsia="ja-JP"/>
        </w:rPr>
        <w:t>We determined that</w:t>
      </w:r>
      <w:r w:rsidRPr="00986567">
        <w:rPr>
          <w:rFonts w:eastAsia="MS Mincho"/>
          <w:sz w:val="22"/>
          <w:szCs w:val="22"/>
          <w:lang w:val="en-US" w:eastAsia="ja-JP"/>
        </w:rPr>
        <w:t xml:space="preserve"> </w:t>
      </w:r>
      <w:r w:rsidRPr="00986567">
        <w:rPr>
          <w:sz w:val="22"/>
          <w:szCs w:val="22"/>
          <w:lang w:val="en-US"/>
        </w:rPr>
        <w:t xml:space="preserve">the transcript lacking 9 </w:t>
      </w:r>
      <w:proofErr w:type="spellStart"/>
      <w:r w:rsidRPr="00986567">
        <w:rPr>
          <w:sz w:val="22"/>
          <w:szCs w:val="22"/>
          <w:lang w:val="en-US"/>
        </w:rPr>
        <w:t>bp</w:t>
      </w:r>
      <w:proofErr w:type="spellEnd"/>
      <w:r w:rsidRPr="00986567">
        <w:rPr>
          <w:sz w:val="22"/>
          <w:szCs w:val="22"/>
          <w:lang w:val="en-US"/>
        </w:rPr>
        <w:t xml:space="preserve"> between </w:t>
      </w:r>
      <w:proofErr w:type="spellStart"/>
      <w:r w:rsidRPr="00986567">
        <w:rPr>
          <w:sz w:val="22"/>
          <w:szCs w:val="22"/>
          <w:lang w:val="en-US"/>
        </w:rPr>
        <w:t>exon</w:t>
      </w:r>
      <w:proofErr w:type="spellEnd"/>
      <w:r w:rsidRPr="00986567">
        <w:rPr>
          <w:sz w:val="22"/>
          <w:szCs w:val="22"/>
          <w:lang w:val="en-US"/>
        </w:rPr>
        <w:t xml:space="preserve"> 15 and </w:t>
      </w:r>
      <w:proofErr w:type="spellStart"/>
      <w:r w:rsidRPr="00986567">
        <w:rPr>
          <w:sz w:val="22"/>
          <w:szCs w:val="22"/>
          <w:lang w:val="en-US"/>
        </w:rPr>
        <w:t>exon</w:t>
      </w:r>
      <w:proofErr w:type="spellEnd"/>
      <w:r w:rsidRPr="00986567">
        <w:rPr>
          <w:sz w:val="22"/>
          <w:szCs w:val="22"/>
          <w:lang w:val="en-US"/>
        </w:rPr>
        <w:t xml:space="preserve"> 16 NM_001184785.1 was the most abundant in normal lung, accounting for almost 30% of all transcripts of</w:t>
      </w:r>
      <w:r w:rsidRPr="00986567">
        <w:rPr>
          <w:i/>
          <w:sz w:val="22"/>
          <w:szCs w:val="22"/>
          <w:lang w:val="en-US"/>
        </w:rPr>
        <w:t xml:space="preserve"> PARD3</w:t>
      </w:r>
      <w:r>
        <w:rPr>
          <w:i/>
          <w:sz w:val="22"/>
          <w:szCs w:val="22"/>
          <w:lang w:val="en-US"/>
        </w:rPr>
        <w:t>.</w:t>
      </w:r>
    </w:p>
    <w:p w:rsidR="000538B5" w:rsidRPr="004C49DB" w:rsidRDefault="000538B5" w:rsidP="000538B5">
      <w:pPr>
        <w:spacing w:line="480" w:lineRule="auto"/>
        <w:jc w:val="both"/>
        <w:rPr>
          <w:sz w:val="22"/>
          <w:szCs w:val="22"/>
          <w:highlight w:val="yellow"/>
          <w:lang w:val="en-US"/>
        </w:rPr>
      </w:pPr>
      <w:r w:rsidRPr="00E86F94">
        <w:rPr>
          <w:sz w:val="22"/>
          <w:szCs w:val="22"/>
          <w:lang w:val="en-US"/>
        </w:rPr>
        <w:t xml:space="preserve">For ectopic expression of PAR3 proteins, full-length human </w:t>
      </w:r>
      <w:r w:rsidRPr="00E86F94">
        <w:rPr>
          <w:i/>
          <w:sz w:val="22"/>
          <w:szCs w:val="22"/>
          <w:lang w:val="en-US"/>
        </w:rPr>
        <w:t xml:space="preserve">PARD3 </w:t>
      </w:r>
      <w:r w:rsidRPr="00E86F94">
        <w:rPr>
          <w:sz w:val="22"/>
          <w:szCs w:val="22"/>
          <w:lang w:val="en-US"/>
        </w:rPr>
        <w:t xml:space="preserve">wild type (NM_001184785) and HA-tag were cloned into the </w:t>
      </w:r>
      <w:proofErr w:type="spellStart"/>
      <w:r w:rsidRPr="00E86F94">
        <w:rPr>
          <w:sz w:val="22"/>
          <w:szCs w:val="22"/>
          <w:lang w:val="en-US"/>
        </w:rPr>
        <w:t>HindIII</w:t>
      </w:r>
      <w:proofErr w:type="spellEnd"/>
      <w:r w:rsidRPr="00E86F94">
        <w:rPr>
          <w:sz w:val="22"/>
          <w:szCs w:val="22"/>
          <w:lang w:val="en-US"/>
        </w:rPr>
        <w:t xml:space="preserve"> and </w:t>
      </w:r>
      <w:proofErr w:type="spellStart"/>
      <w:r w:rsidRPr="00E86F94">
        <w:rPr>
          <w:sz w:val="22"/>
          <w:szCs w:val="22"/>
          <w:lang w:val="en-US"/>
        </w:rPr>
        <w:t>NotI</w:t>
      </w:r>
      <w:proofErr w:type="spellEnd"/>
      <w:r w:rsidRPr="00E86F94">
        <w:rPr>
          <w:sz w:val="22"/>
          <w:szCs w:val="22"/>
          <w:lang w:val="en-US"/>
        </w:rPr>
        <w:t xml:space="preserve"> restriction sites of the vector pcDNA4TO (</w:t>
      </w:r>
      <w:proofErr w:type="spellStart"/>
      <w:r w:rsidRPr="00E86F94">
        <w:rPr>
          <w:sz w:val="22"/>
          <w:szCs w:val="22"/>
          <w:lang w:val="en-US"/>
        </w:rPr>
        <w:t>Invitrogen</w:t>
      </w:r>
      <w:proofErr w:type="spellEnd"/>
      <w:r w:rsidRPr="00E86F94">
        <w:rPr>
          <w:sz w:val="22"/>
          <w:szCs w:val="22"/>
          <w:lang w:val="en-US"/>
        </w:rPr>
        <w:t xml:space="preserve">, Carlsbad, CA). The different mutants were obtained by directed mutagenesis in the same vector. All constructs were verified by automatic sequencing. For transient </w:t>
      </w:r>
      <w:proofErr w:type="spellStart"/>
      <w:r w:rsidRPr="00E86F94">
        <w:rPr>
          <w:sz w:val="22"/>
          <w:szCs w:val="22"/>
          <w:lang w:val="en-US"/>
        </w:rPr>
        <w:t>transfections</w:t>
      </w:r>
      <w:proofErr w:type="spellEnd"/>
      <w:r w:rsidRPr="00E86F94">
        <w:rPr>
          <w:sz w:val="22"/>
          <w:szCs w:val="22"/>
          <w:lang w:val="en-US"/>
        </w:rPr>
        <w:t xml:space="preserve"> we used </w:t>
      </w:r>
      <w:proofErr w:type="spellStart"/>
      <w:r w:rsidRPr="00E86F94">
        <w:rPr>
          <w:sz w:val="22"/>
          <w:szCs w:val="22"/>
          <w:lang w:val="en-US"/>
        </w:rPr>
        <w:t>Lipofectamine</w:t>
      </w:r>
      <w:proofErr w:type="spellEnd"/>
      <w:r w:rsidRPr="00E86F94">
        <w:rPr>
          <w:sz w:val="22"/>
          <w:szCs w:val="22"/>
          <w:lang w:val="en-US"/>
        </w:rPr>
        <w:t xml:space="preserve"> 2000 (</w:t>
      </w:r>
      <w:proofErr w:type="spellStart"/>
      <w:r w:rsidRPr="00E86F94">
        <w:rPr>
          <w:sz w:val="22"/>
          <w:szCs w:val="22"/>
          <w:lang w:val="en-US"/>
        </w:rPr>
        <w:t>Invitrogen</w:t>
      </w:r>
      <w:proofErr w:type="spellEnd"/>
      <w:r w:rsidRPr="00E86F94">
        <w:rPr>
          <w:sz w:val="22"/>
          <w:szCs w:val="22"/>
          <w:lang w:val="en-US"/>
        </w:rPr>
        <w:t xml:space="preserve">), following the manufacturer’s protocol. The stable and conditional PAR3tr cells, which carry the </w:t>
      </w:r>
      <w:proofErr w:type="spellStart"/>
      <w:r w:rsidRPr="00E86F94">
        <w:rPr>
          <w:sz w:val="22"/>
          <w:szCs w:val="22"/>
          <w:lang w:val="en-US"/>
        </w:rPr>
        <w:t>tet</w:t>
      </w:r>
      <w:proofErr w:type="spellEnd"/>
      <w:r w:rsidRPr="00E86F94">
        <w:rPr>
          <w:sz w:val="22"/>
          <w:szCs w:val="22"/>
          <w:lang w:val="en-US"/>
        </w:rPr>
        <w:t xml:space="preserve">-repressor plasmid, were generated using the Retro-X </w:t>
      </w:r>
      <w:proofErr w:type="spellStart"/>
      <w:r w:rsidRPr="00E86F94">
        <w:rPr>
          <w:sz w:val="22"/>
          <w:szCs w:val="22"/>
          <w:lang w:val="en-US"/>
        </w:rPr>
        <w:t>Tet</w:t>
      </w:r>
      <w:proofErr w:type="spellEnd"/>
      <w:r w:rsidRPr="00E86F94">
        <w:rPr>
          <w:sz w:val="22"/>
          <w:szCs w:val="22"/>
          <w:lang w:val="en-US"/>
        </w:rPr>
        <w:t xml:space="preserve"> in an advanced inducible expression system (</w:t>
      </w:r>
      <w:proofErr w:type="spellStart"/>
      <w:r w:rsidRPr="00E86F94">
        <w:rPr>
          <w:sz w:val="22"/>
          <w:szCs w:val="22"/>
          <w:lang w:val="en-US"/>
        </w:rPr>
        <w:t>Clontech</w:t>
      </w:r>
      <w:proofErr w:type="spellEnd"/>
      <w:r w:rsidRPr="00E86F94">
        <w:rPr>
          <w:sz w:val="22"/>
          <w:szCs w:val="22"/>
          <w:lang w:val="en-US"/>
        </w:rPr>
        <w:t xml:space="preserve">, Mountain View, CA). </w:t>
      </w:r>
      <w:r w:rsidRPr="00387AAD">
        <w:rPr>
          <w:sz w:val="22"/>
          <w:szCs w:val="22"/>
          <w:lang w:val="en-US"/>
        </w:rPr>
        <w:t xml:space="preserve">The H157 and the </w:t>
      </w:r>
      <w:proofErr w:type="spellStart"/>
      <w:r w:rsidRPr="00387AAD">
        <w:rPr>
          <w:sz w:val="22"/>
          <w:szCs w:val="22"/>
          <w:lang w:val="en-US"/>
        </w:rPr>
        <w:t>glioblastoma</w:t>
      </w:r>
      <w:proofErr w:type="spellEnd"/>
      <w:r w:rsidRPr="00387AAD">
        <w:rPr>
          <w:sz w:val="22"/>
          <w:szCs w:val="22"/>
          <w:lang w:val="en-US"/>
        </w:rPr>
        <w:t xml:space="preserve">-derived T98G cells were infected with </w:t>
      </w:r>
      <w:r>
        <w:rPr>
          <w:sz w:val="22"/>
          <w:szCs w:val="22"/>
          <w:lang w:val="en-US"/>
        </w:rPr>
        <w:t>the</w:t>
      </w:r>
      <w:r w:rsidRPr="00387AAD">
        <w:rPr>
          <w:sz w:val="22"/>
          <w:szCs w:val="22"/>
          <w:lang w:val="en-US"/>
        </w:rPr>
        <w:t xml:space="preserve"> tetracycline (</w:t>
      </w:r>
      <w:proofErr w:type="spellStart"/>
      <w:r w:rsidRPr="00387AAD">
        <w:rPr>
          <w:sz w:val="22"/>
          <w:szCs w:val="22"/>
          <w:lang w:val="en-US"/>
        </w:rPr>
        <w:t>tet</w:t>
      </w:r>
      <w:proofErr w:type="spellEnd"/>
      <w:r w:rsidRPr="00387AAD">
        <w:rPr>
          <w:sz w:val="22"/>
          <w:szCs w:val="22"/>
          <w:lang w:val="en-US"/>
        </w:rPr>
        <w:t xml:space="preserve">) </w:t>
      </w:r>
      <w:proofErr w:type="spellStart"/>
      <w:r w:rsidRPr="00387AAD">
        <w:rPr>
          <w:sz w:val="22"/>
          <w:szCs w:val="22"/>
          <w:lang w:val="en-US"/>
        </w:rPr>
        <w:t>transactivator</w:t>
      </w:r>
      <w:proofErr w:type="spellEnd"/>
      <w:r w:rsidRPr="00387AAD">
        <w:rPr>
          <w:sz w:val="22"/>
          <w:szCs w:val="22"/>
          <w:lang w:val="en-US"/>
        </w:rPr>
        <w:t xml:space="preserve"> expression construct and </w:t>
      </w:r>
      <w:r>
        <w:rPr>
          <w:sz w:val="22"/>
          <w:szCs w:val="22"/>
          <w:lang w:val="en-US"/>
        </w:rPr>
        <w:t>the</w:t>
      </w:r>
      <w:r w:rsidRPr="00387AAD">
        <w:rPr>
          <w:sz w:val="22"/>
          <w:szCs w:val="22"/>
          <w:lang w:val="en-US"/>
        </w:rPr>
        <w:t xml:space="preserve"> </w:t>
      </w:r>
      <w:proofErr w:type="spellStart"/>
      <w:r w:rsidRPr="00387AAD">
        <w:rPr>
          <w:sz w:val="22"/>
          <w:szCs w:val="22"/>
          <w:lang w:val="en-US"/>
        </w:rPr>
        <w:t>tet</w:t>
      </w:r>
      <w:proofErr w:type="spellEnd"/>
      <w:r w:rsidRPr="00387AAD">
        <w:rPr>
          <w:sz w:val="22"/>
          <w:szCs w:val="22"/>
          <w:lang w:val="en-US"/>
        </w:rPr>
        <w:t>-controlled expression vector (</w:t>
      </w:r>
      <w:proofErr w:type="spellStart"/>
      <w:r w:rsidRPr="00387AAD">
        <w:rPr>
          <w:sz w:val="22"/>
          <w:szCs w:val="22"/>
          <w:lang w:val="en-US"/>
        </w:rPr>
        <w:t>tet</w:t>
      </w:r>
      <w:proofErr w:type="spellEnd"/>
      <w:r w:rsidRPr="00387AAD">
        <w:rPr>
          <w:sz w:val="22"/>
          <w:szCs w:val="22"/>
          <w:lang w:val="en-US"/>
        </w:rPr>
        <w:t>-on) alone (H157tr and T98Gtr) or containing the entire wild type (H157tr-wtPAR3 and T98Gtr-wtPAR3) or various PAR3 mutant coding sequences (H157tr-41</w:t>
      </w:r>
      <w:r w:rsidR="00440CC8">
        <w:rPr>
          <w:sz w:val="22"/>
          <w:szCs w:val="22"/>
          <w:lang w:val="en-US"/>
        </w:rPr>
        <w:t>_</w:t>
      </w:r>
      <w:r w:rsidRPr="00387AAD">
        <w:rPr>
          <w:sz w:val="22"/>
          <w:szCs w:val="22"/>
          <w:lang w:val="en-US"/>
        </w:rPr>
        <w:t>74</w:t>
      </w:r>
      <w:r w:rsidR="00440CC8">
        <w:rPr>
          <w:sz w:val="22"/>
          <w:szCs w:val="22"/>
          <w:lang w:val="en-US"/>
        </w:rPr>
        <w:t>del</w:t>
      </w:r>
      <w:r w:rsidRPr="00387AAD">
        <w:rPr>
          <w:sz w:val="22"/>
          <w:szCs w:val="22"/>
          <w:lang w:val="en-US"/>
        </w:rPr>
        <w:t>, H157tr-R345H, H157tr-T86</w:t>
      </w:r>
      <w:r w:rsidR="00440CC8">
        <w:rPr>
          <w:sz w:val="22"/>
          <w:szCs w:val="22"/>
          <w:lang w:val="en-US"/>
        </w:rPr>
        <w:t>1S, H157tr-I1043M and T98Gtr-41_</w:t>
      </w:r>
      <w:r w:rsidRPr="00387AAD">
        <w:rPr>
          <w:sz w:val="22"/>
          <w:szCs w:val="22"/>
          <w:lang w:val="en-US"/>
        </w:rPr>
        <w:t>74</w:t>
      </w:r>
      <w:r w:rsidR="00440CC8">
        <w:rPr>
          <w:sz w:val="22"/>
          <w:szCs w:val="22"/>
          <w:lang w:val="en-US"/>
        </w:rPr>
        <w:t>del</w:t>
      </w:r>
      <w:r w:rsidRPr="00387AAD">
        <w:rPr>
          <w:sz w:val="22"/>
          <w:szCs w:val="22"/>
          <w:lang w:val="en-US"/>
        </w:rPr>
        <w:t>, T98Gtr-R345H, T98Gtr-T861S, T98Gtr-I1043M).</w:t>
      </w:r>
      <w:r w:rsidRPr="004C49DB">
        <w:rPr>
          <w:sz w:val="22"/>
          <w:szCs w:val="22"/>
          <w:lang w:val="en-US"/>
        </w:rPr>
        <w:t xml:space="preserve"> Individual colonies were selected and analyzed for inducible expression of PAR3 by western blot, </w:t>
      </w:r>
      <w:proofErr w:type="spellStart"/>
      <w:r w:rsidRPr="004C49DB">
        <w:rPr>
          <w:sz w:val="22"/>
          <w:szCs w:val="22"/>
          <w:lang w:val="en-US"/>
        </w:rPr>
        <w:t>immunofluorescence</w:t>
      </w:r>
      <w:proofErr w:type="spellEnd"/>
      <w:r w:rsidRPr="004C49DB">
        <w:rPr>
          <w:sz w:val="22"/>
          <w:szCs w:val="22"/>
          <w:lang w:val="en-US"/>
        </w:rPr>
        <w:t xml:space="preserve"> and real-time quantitative PCR. To avoid clone-related bias that might affect the analysis, three clones of each wild type and mutant clone were pooled to obtain the different H157 and T98G- derived cells.</w:t>
      </w:r>
    </w:p>
    <w:p w:rsidR="000538B5" w:rsidRDefault="000538B5" w:rsidP="000538B5">
      <w:pPr>
        <w:spacing w:line="480" w:lineRule="auto"/>
        <w:jc w:val="both"/>
        <w:rPr>
          <w:sz w:val="22"/>
          <w:szCs w:val="22"/>
          <w:lang w:val="en-US"/>
        </w:rPr>
      </w:pPr>
    </w:p>
    <w:p w:rsidR="000538B5" w:rsidRDefault="000538B5" w:rsidP="000538B5">
      <w:pPr>
        <w:spacing w:line="480" w:lineRule="auto"/>
        <w:jc w:val="both"/>
        <w:rPr>
          <w:sz w:val="22"/>
          <w:szCs w:val="22"/>
          <w:lang w:val="en-US"/>
        </w:rPr>
      </w:pPr>
      <w:r w:rsidRPr="00E86F94">
        <w:rPr>
          <w:sz w:val="22"/>
          <w:szCs w:val="22"/>
          <w:lang w:val="en-US"/>
        </w:rPr>
        <w:lastRenderedPageBreak/>
        <w:t xml:space="preserve">To deplete PAR3 expression we used </w:t>
      </w:r>
      <w:proofErr w:type="spellStart"/>
      <w:r w:rsidRPr="00E86F94">
        <w:rPr>
          <w:sz w:val="22"/>
          <w:szCs w:val="22"/>
          <w:lang w:val="en-US"/>
        </w:rPr>
        <w:t>shRNAs</w:t>
      </w:r>
      <w:proofErr w:type="spellEnd"/>
      <w:r w:rsidRPr="00E86F94">
        <w:rPr>
          <w:sz w:val="22"/>
          <w:szCs w:val="22"/>
          <w:lang w:val="en-US"/>
        </w:rPr>
        <w:t>, which were purchased from SIGMA-MISSION (</w:t>
      </w:r>
      <w:proofErr w:type="spellStart"/>
      <w:r w:rsidRPr="00E86F94">
        <w:rPr>
          <w:sz w:val="22"/>
          <w:szCs w:val="22"/>
          <w:lang w:val="en-US"/>
        </w:rPr>
        <w:t>LentiExpress</w:t>
      </w:r>
      <w:proofErr w:type="spellEnd"/>
      <w:r w:rsidRPr="00E86F94">
        <w:rPr>
          <w:sz w:val="22"/>
          <w:szCs w:val="22"/>
          <w:lang w:val="en-US"/>
        </w:rPr>
        <w:t xml:space="preserve">™ Technology, Sigma-Aldrich, St. Louis, MO) as a glycerol stock of 5 </w:t>
      </w:r>
      <w:proofErr w:type="spellStart"/>
      <w:r w:rsidRPr="00E86F94">
        <w:rPr>
          <w:sz w:val="22"/>
          <w:szCs w:val="22"/>
          <w:lang w:val="en-US"/>
        </w:rPr>
        <w:t>pLKO</w:t>
      </w:r>
      <w:proofErr w:type="spellEnd"/>
      <w:r w:rsidRPr="00E86F94">
        <w:rPr>
          <w:sz w:val="22"/>
          <w:szCs w:val="22"/>
          <w:lang w:val="en-US"/>
        </w:rPr>
        <w:t xml:space="preserve"> plasmids carrying </w:t>
      </w:r>
      <w:r w:rsidRPr="00E86F94">
        <w:rPr>
          <w:i/>
          <w:sz w:val="22"/>
          <w:szCs w:val="22"/>
          <w:lang w:val="en-US"/>
        </w:rPr>
        <w:t>PARD3-</w:t>
      </w:r>
      <w:r w:rsidRPr="00E86F94">
        <w:rPr>
          <w:sz w:val="22"/>
          <w:szCs w:val="22"/>
          <w:lang w:val="en-US"/>
        </w:rPr>
        <w:t xml:space="preserve">specific </w:t>
      </w:r>
      <w:proofErr w:type="spellStart"/>
      <w:r w:rsidRPr="00E86F94">
        <w:rPr>
          <w:sz w:val="22"/>
          <w:szCs w:val="22"/>
          <w:lang w:val="en-US"/>
        </w:rPr>
        <w:t>shRNA</w:t>
      </w:r>
      <w:proofErr w:type="spellEnd"/>
      <w:r w:rsidRPr="00E86F94">
        <w:rPr>
          <w:sz w:val="22"/>
          <w:szCs w:val="22"/>
          <w:lang w:val="en-US"/>
        </w:rPr>
        <w:t xml:space="preserve"> sequences. To obtain stable expression of the </w:t>
      </w:r>
      <w:proofErr w:type="spellStart"/>
      <w:r w:rsidRPr="00E86F94">
        <w:rPr>
          <w:sz w:val="22"/>
          <w:szCs w:val="22"/>
          <w:lang w:val="en-US"/>
        </w:rPr>
        <w:t>shRNAs</w:t>
      </w:r>
      <w:proofErr w:type="spellEnd"/>
      <w:r w:rsidRPr="00E86F94">
        <w:rPr>
          <w:sz w:val="22"/>
          <w:szCs w:val="22"/>
          <w:lang w:val="en-US"/>
        </w:rPr>
        <w:t xml:space="preserve"> different cell populations were selected with </w:t>
      </w:r>
      <w:proofErr w:type="spellStart"/>
      <w:r w:rsidRPr="00E86F94">
        <w:rPr>
          <w:sz w:val="22"/>
          <w:szCs w:val="22"/>
          <w:lang w:val="en-US"/>
        </w:rPr>
        <w:t>puromycin</w:t>
      </w:r>
      <w:proofErr w:type="spellEnd"/>
      <w:r w:rsidRPr="00E86F94">
        <w:rPr>
          <w:sz w:val="22"/>
          <w:szCs w:val="22"/>
          <w:lang w:val="en-US"/>
        </w:rPr>
        <w:t xml:space="preserve"> for 2-3 weeks.</w:t>
      </w:r>
    </w:p>
    <w:p w:rsidR="00E063A5" w:rsidRDefault="00E063A5" w:rsidP="00E063A5">
      <w:pPr>
        <w:spacing w:line="480" w:lineRule="auto"/>
        <w:jc w:val="both"/>
        <w:rPr>
          <w:b/>
          <w:bCs/>
          <w:highlight w:val="yellow"/>
          <w:lang w:val="en-US"/>
        </w:rPr>
      </w:pPr>
    </w:p>
    <w:p w:rsidR="00E063A5" w:rsidRPr="004C49DB" w:rsidRDefault="00E063A5" w:rsidP="00E063A5">
      <w:pPr>
        <w:autoSpaceDE w:val="0"/>
        <w:autoSpaceDN w:val="0"/>
        <w:adjustRightInd w:val="0"/>
        <w:spacing w:line="480" w:lineRule="auto"/>
        <w:jc w:val="both"/>
        <w:rPr>
          <w:b/>
          <w:sz w:val="22"/>
          <w:szCs w:val="22"/>
          <w:lang w:val="en-US"/>
        </w:rPr>
      </w:pPr>
      <w:r w:rsidRPr="004C49DB">
        <w:rPr>
          <w:b/>
          <w:sz w:val="22"/>
          <w:szCs w:val="22"/>
          <w:lang w:val="en-US"/>
        </w:rPr>
        <w:t>Colony formation</w:t>
      </w:r>
      <w:r w:rsidR="0085740C">
        <w:rPr>
          <w:b/>
          <w:sz w:val="22"/>
          <w:szCs w:val="22"/>
          <w:lang w:val="en-US"/>
        </w:rPr>
        <w:t xml:space="preserve">, </w:t>
      </w:r>
      <w:r w:rsidR="0085740C" w:rsidRPr="0085740C">
        <w:rPr>
          <w:b/>
          <w:sz w:val="22"/>
          <w:szCs w:val="22"/>
          <w:lang w:val="en-US"/>
        </w:rPr>
        <w:t>MTT</w:t>
      </w:r>
      <w:r w:rsidR="0085740C">
        <w:rPr>
          <w:b/>
          <w:sz w:val="22"/>
          <w:szCs w:val="22"/>
          <w:lang w:val="en-US"/>
        </w:rPr>
        <w:t xml:space="preserve"> and cell migration </w:t>
      </w:r>
      <w:r w:rsidR="00953719" w:rsidRPr="0085740C">
        <w:rPr>
          <w:b/>
          <w:sz w:val="22"/>
          <w:szCs w:val="22"/>
          <w:lang w:val="en-US"/>
        </w:rPr>
        <w:t>assays</w:t>
      </w:r>
      <w:r w:rsidR="00953719">
        <w:rPr>
          <w:b/>
          <w:sz w:val="22"/>
          <w:szCs w:val="22"/>
          <w:lang w:val="en-US"/>
        </w:rPr>
        <w:t xml:space="preserve"> </w:t>
      </w:r>
    </w:p>
    <w:p w:rsidR="00E063A5" w:rsidRDefault="00E063A5" w:rsidP="00E063A5">
      <w:pPr>
        <w:autoSpaceDE w:val="0"/>
        <w:autoSpaceDN w:val="0"/>
        <w:adjustRightInd w:val="0"/>
        <w:spacing w:line="480" w:lineRule="auto"/>
        <w:jc w:val="both"/>
        <w:rPr>
          <w:sz w:val="22"/>
          <w:szCs w:val="22"/>
          <w:lang w:val="en-US"/>
        </w:rPr>
      </w:pPr>
      <w:r w:rsidRPr="004C49DB">
        <w:rPr>
          <w:sz w:val="22"/>
          <w:szCs w:val="22"/>
          <w:lang w:val="en-US"/>
        </w:rPr>
        <w:t xml:space="preserve">For colony formation, assays with the indicated mammalian expression vectors cells were seeded at a density of 1,500,000 cells/100 mm diameter plate in RPMI media containing 10% (v/v) fetal bovine serum. After 24 h, cells were </w:t>
      </w:r>
      <w:proofErr w:type="spellStart"/>
      <w:r w:rsidRPr="004C49DB">
        <w:rPr>
          <w:sz w:val="22"/>
          <w:szCs w:val="22"/>
          <w:lang w:val="en-US"/>
        </w:rPr>
        <w:t>transfected</w:t>
      </w:r>
      <w:proofErr w:type="spellEnd"/>
      <w:r w:rsidRPr="004C49DB">
        <w:rPr>
          <w:sz w:val="22"/>
          <w:szCs w:val="22"/>
          <w:lang w:val="en-US"/>
        </w:rPr>
        <w:t xml:space="preserve"> and stained 14-15 days later with Cristal Violet</w:t>
      </w:r>
      <w:r w:rsidRPr="004C49DB">
        <w:rPr>
          <w:color w:val="FF0000"/>
          <w:sz w:val="22"/>
          <w:szCs w:val="22"/>
          <w:lang w:val="en-US"/>
        </w:rPr>
        <w:t xml:space="preserve"> </w:t>
      </w:r>
      <w:r w:rsidRPr="004C49DB">
        <w:rPr>
          <w:sz w:val="22"/>
          <w:szCs w:val="22"/>
          <w:lang w:val="en-US"/>
        </w:rPr>
        <w:t>(Merck Millipore, Darmstadt, Germany)</w:t>
      </w:r>
      <w:r w:rsidRPr="004C49DB">
        <w:rPr>
          <w:color w:val="FF0000"/>
          <w:sz w:val="22"/>
          <w:szCs w:val="22"/>
          <w:lang w:val="en-US"/>
        </w:rPr>
        <w:t>.</w:t>
      </w:r>
      <w:r w:rsidRPr="004C49DB">
        <w:rPr>
          <w:sz w:val="22"/>
          <w:szCs w:val="22"/>
          <w:lang w:val="en-US"/>
        </w:rPr>
        <w:t xml:space="preserve"> Each assay was performed in triplicate. The information regarding the empty vector as a control was not included in results. We found a larger number of colonies in the empty vector control (data not shown), as compared to the wtPAR3 and the to the various PAR3 mutant proteins. However this could not be attributable to a higher capability to form colonies, but rather to an increased in the </w:t>
      </w:r>
      <w:proofErr w:type="spellStart"/>
      <w:r w:rsidRPr="004C49DB">
        <w:rPr>
          <w:sz w:val="22"/>
          <w:szCs w:val="22"/>
          <w:lang w:val="en-US"/>
        </w:rPr>
        <w:t>trans</w:t>
      </w:r>
      <w:r w:rsidR="00746881">
        <w:rPr>
          <w:sz w:val="22"/>
          <w:szCs w:val="22"/>
          <w:lang w:val="en-US"/>
        </w:rPr>
        <w:t>fection</w:t>
      </w:r>
      <w:proofErr w:type="spellEnd"/>
      <w:r w:rsidRPr="004C49DB">
        <w:rPr>
          <w:sz w:val="22"/>
          <w:szCs w:val="22"/>
          <w:lang w:val="en-US"/>
        </w:rPr>
        <w:t xml:space="preserve"> efficiency, because of the differences in size between the control vector, pcDNA4TO, and the pcDNA4TO-PARD3 (either wild type or mutants), that exceed the 2500–bp.</w:t>
      </w:r>
    </w:p>
    <w:p w:rsidR="0085740C" w:rsidRDefault="00953719" w:rsidP="00953719">
      <w:pPr>
        <w:autoSpaceDE w:val="0"/>
        <w:autoSpaceDN w:val="0"/>
        <w:adjustRightInd w:val="0"/>
        <w:spacing w:line="480" w:lineRule="auto"/>
        <w:jc w:val="both"/>
        <w:rPr>
          <w:sz w:val="22"/>
          <w:szCs w:val="22"/>
          <w:lang w:val="en-US"/>
        </w:rPr>
      </w:pPr>
      <w:r w:rsidRPr="0085740C">
        <w:rPr>
          <w:sz w:val="22"/>
          <w:szCs w:val="22"/>
          <w:lang w:val="en-US"/>
        </w:rPr>
        <w:t>For the MTT assays, cells were seeded at a density of 5,000 cells/well on 96-well plates.</w:t>
      </w:r>
      <w:r w:rsidR="004F5361" w:rsidRPr="0085740C">
        <w:rPr>
          <w:sz w:val="22"/>
          <w:szCs w:val="22"/>
          <w:lang w:val="en-US"/>
        </w:rPr>
        <w:t xml:space="preserve"> After induction of PAR3 expression with </w:t>
      </w:r>
      <w:proofErr w:type="spellStart"/>
      <w:r w:rsidR="004F5361" w:rsidRPr="0085740C">
        <w:rPr>
          <w:sz w:val="22"/>
          <w:szCs w:val="22"/>
          <w:lang w:val="en-US"/>
        </w:rPr>
        <w:t>doxocyclin</w:t>
      </w:r>
      <w:proofErr w:type="spellEnd"/>
      <w:r w:rsidR="004F5361" w:rsidRPr="0085740C">
        <w:rPr>
          <w:sz w:val="22"/>
          <w:szCs w:val="22"/>
          <w:lang w:val="en-US"/>
        </w:rPr>
        <w:t xml:space="preserve">, the number of </w:t>
      </w:r>
      <w:r w:rsidRPr="0085740C">
        <w:rPr>
          <w:sz w:val="22"/>
          <w:szCs w:val="22"/>
          <w:lang w:val="en-US"/>
        </w:rPr>
        <w:t>viable cell</w:t>
      </w:r>
      <w:r w:rsidR="004F5361" w:rsidRPr="0085740C">
        <w:rPr>
          <w:sz w:val="22"/>
          <w:szCs w:val="22"/>
          <w:lang w:val="en-US"/>
        </w:rPr>
        <w:t>s</w:t>
      </w:r>
      <w:r w:rsidRPr="0085740C">
        <w:rPr>
          <w:sz w:val="22"/>
          <w:szCs w:val="22"/>
          <w:lang w:val="en-US"/>
        </w:rPr>
        <w:t xml:space="preserve"> was measured by the 3-(4,5- dimethylthiazol-2)-2,5-diphenyltetrazolium bromide (MTT) assay. Briefly, </w:t>
      </w:r>
      <w:r w:rsidR="0085740C" w:rsidRPr="0085740C">
        <w:rPr>
          <w:sz w:val="22"/>
          <w:szCs w:val="22"/>
          <w:lang w:val="en-US"/>
        </w:rPr>
        <w:t xml:space="preserve">10 </w:t>
      </w:r>
      <w:proofErr w:type="spellStart"/>
      <w:r w:rsidR="0085740C" w:rsidRPr="0085740C">
        <w:rPr>
          <w:sz w:val="22"/>
          <w:szCs w:val="22"/>
          <w:lang w:val="en-US"/>
        </w:rPr>
        <w:t>μL</w:t>
      </w:r>
      <w:proofErr w:type="spellEnd"/>
      <w:r w:rsidR="0085740C" w:rsidRPr="0085740C">
        <w:rPr>
          <w:sz w:val="22"/>
          <w:szCs w:val="22"/>
          <w:lang w:val="en-US"/>
        </w:rPr>
        <w:t xml:space="preserve"> of a solution of 5 mg/</w:t>
      </w:r>
      <w:proofErr w:type="spellStart"/>
      <w:r w:rsidR="0085740C" w:rsidRPr="0085740C">
        <w:rPr>
          <w:sz w:val="22"/>
          <w:szCs w:val="22"/>
          <w:lang w:val="en-US"/>
        </w:rPr>
        <w:t>mL</w:t>
      </w:r>
      <w:proofErr w:type="spellEnd"/>
      <w:r w:rsidR="0085740C" w:rsidRPr="0085740C">
        <w:rPr>
          <w:sz w:val="22"/>
          <w:szCs w:val="22"/>
          <w:lang w:val="en-US"/>
        </w:rPr>
        <w:t xml:space="preserve"> MTT (Sigma Chemical, </w:t>
      </w:r>
      <w:proofErr w:type="spellStart"/>
      <w:r w:rsidR="0085740C" w:rsidRPr="0085740C">
        <w:rPr>
          <w:sz w:val="22"/>
          <w:szCs w:val="22"/>
          <w:lang w:val="en-US"/>
        </w:rPr>
        <w:t>Zwijndrecht</w:t>
      </w:r>
      <w:proofErr w:type="spellEnd"/>
      <w:r w:rsidR="0085740C" w:rsidRPr="0085740C">
        <w:rPr>
          <w:sz w:val="22"/>
          <w:szCs w:val="22"/>
          <w:lang w:val="en-US"/>
        </w:rPr>
        <w:t xml:space="preserve">, The Netherlands) was added. After incubation for 3 hr at 37ºC, the medium was discarded, the formed </w:t>
      </w:r>
      <w:proofErr w:type="spellStart"/>
      <w:r w:rsidR="0085740C" w:rsidRPr="0085740C">
        <w:rPr>
          <w:sz w:val="22"/>
          <w:szCs w:val="22"/>
          <w:lang w:val="en-US"/>
        </w:rPr>
        <w:t>formazan</w:t>
      </w:r>
      <w:proofErr w:type="spellEnd"/>
      <w:r w:rsidR="0085740C" w:rsidRPr="0085740C">
        <w:rPr>
          <w:sz w:val="22"/>
          <w:szCs w:val="22"/>
          <w:lang w:val="en-US"/>
        </w:rPr>
        <w:t xml:space="preserve"> crystals were dissolved in 100 ml DMSO and absorbance was determined at 560 nm by means of a </w:t>
      </w:r>
      <w:proofErr w:type="spellStart"/>
      <w:r w:rsidR="0085740C" w:rsidRPr="0085740C">
        <w:rPr>
          <w:sz w:val="22"/>
          <w:szCs w:val="22"/>
          <w:lang w:val="en-US"/>
        </w:rPr>
        <w:t>microplate</w:t>
      </w:r>
      <w:proofErr w:type="spellEnd"/>
      <w:r w:rsidR="0085740C" w:rsidRPr="0085740C">
        <w:rPr>
          <w:sz w:val="22"/>
          <w:szCs w:val="22"/>
          <w:lang w:val="en-US"/>
        </w:rPr>
        <w:t xml:space="preserve"> reader (Bio-Rad, Hercules, CA). </w:t>
      </w:r>
    </w:p>
    <w:p w:rsidR="00C07187" w:rsidRPr="00C07187" w:rsidRDefault="0085740C" w:rsidP="00C07187">
      <w:pPr>
        <w:spacing w:line="480" w:lineRule="auto"/>
        <w:jc w:val="both"/>
        <w:rPr>
          <w:sz w:val="22"/>
          <w:szCs w:val="22"/>
          <w:lang w:val="en-US"/>
        </w:rPr>
      </w:pPr>
      <w:r w:rsidRPr="0085740C">
        <w:rPr>
          <w:sz w:val="22"/>
          <w:szCs w:val="22"/>
          <w:lang w:val="en-US"/>
        </w:rPr>
        <w:t xml:space="preserve">Cell motility was examined by a real-time migration assay through the </w:t>
      </w:r>
      <w:proofErr w:type="spellStart"/>
      <w:r w:rsidRPr="0085740C">
        <w:rPr>
          <w:sz w:val="22"/>
          <w:szCs w:val="22"/>
          <w:lang w:val="en-US"/>
        </w:rPr>
        <w:t>xCELLigence</w:t>
      </w:r>
      <w:proofErr w:type="spellEnd"/>
      <w:r w:rsidRPr="0085740C">
        <w:rPr>
          <w:sz w:val="22"/>
          <w:szCs w:val="22"/>
          <w:lang w:val="en-US"/>
        </w:rPr>
        <w:t xml:space="preserve"> system (Roche Applied Science). The upper chamber of the CIM-plates was coated with 0,22 mg/ml of collagen I or with 2 </w:t>
      </w:r>
      <w:proofErr w:type="spellStart"/>
      <w:r w:rsidRPr="0085740C">
        <w:rPr>
          <w:sz w:val="22"/>
          <w:szCs w:val="22"/>
          <w:lang w:val="en-US"/>
        </w:rPr>
        <w:t>μg</w:t>
      </w:r>
      <w:proofErr w:type="spellEnd"/>
      <w:r w:rsidRPr="0085740C">
        <w:rPr>
          <w:sz w:val="22"/>
          <w:szCs w:val="22"/>
          <w:lang w:val="en-US"/>
        </w:rPr>
        <w:t>/</w:t>
      </w:r>
      <w:proofErr w:type="spellStart"/>
      <w:r w:rsidRPr="0085740C">
        <w:rPr>
          <w:sz w:val="22"/>
          <w:szCs w:val="22"/>
          <w:lang w:val="en-US"/>
        </w:rPr>
        <w:t>μL</w:t>
      </w:r>
      <w:proofErr w:type="spellEnd"/>
      <w:r w:rsidRPr="0085740C">
        <w:rPr>
          <w:sz w:val="22"/>
          <w:szCs w:val="22"/>
          <w:lang w:val="en-US"/>
        </w:rPr>
        <w:t xml:space="preserve"> of </w:t>
      </w:r>
      <w:proofErr w:type="spellStart"/>
      <w:r w:rsidRPr="0085740C">
        <w:rPr>
          <w:sz w:val="22"/>
          <w:szCs w:val="22"/>
          <w:lang w:val="en-US"/>
        </w:rPr>
        <w:t>fibronectin</w:t>
      </w:r>
      <w:proofErr w:type="spellEnd"/>
      <w:r w:rsidRPr="0085740C">
        <w:rPr>
          <w:sz w:val="22"/>
          <w:szCs w:val="22"/>
          <w:lang w:val="en-US"/>
        </w:rPr>
        <w:t>. 40000 cells/well were seeded onto the upper chamber in serum free media. Fresh RPMI 10% FBS was added to each well of the lower chamber. CIM plates were placed onto the Real-Time Cell Analyzer (RTCA) station (</w:t>
      </w:r>
      <w:proofErr w:type="spellStart"/>
      <w:r w:rsidRPr="0085740C">
        <w:rPr>
          <w:sz w:val="22"/>
          <w:szCs w:val="22"/>
          <w:lang w:val="en-US"/>
        </w:rPr>
        <w:t>xCELLigence</w:t>
      </w:r>
      <w:proofErr w:type="spellEnd"/>
      <w:r w:rsidRPr="0085740C">
        <w:rPr>
          <w:sz w:val="22"/>
          <w:szCs w:val="22"/>
          <w:lang w:val="en-US"/>
        </w:rPr>
        <w:t xml:space="preserve"> System, </w:t>
      </w:r>
      <w:r w:rsidRPr="0085740C">
        <w:rPr>
          <w:sz w:val="22"/>
          <w:szCs w:val="22"/>
          <w:lang w:val="en-US"/>
        </w:rPr>
        <w:lastRenderedPageBreak/>
        <w:t>Roche, Mannheim, Germany). Cell migration was continuously monitored by measuring changes in the electrical impedance at the electrode/cell interface, as a population of cells migrated from the top to the bottom chamber. Continuous values are represented as cell index (CI), a dimensionless parameter that reflects a relative change in measured electrical impedance, and quantified as a slope (h</w:t>
      </w:r>
      <w:r w:rsidR="00C07187" w:rsidRPr="007143C2">
        <w:rPr>
          <w:sz w:val="22"/>
          <w:szCs w:val="22"/>
          <w:vertAlign w:val="superscript"/>
          <w:lang w:val="en-US"/>
        </w:rPr>
        <w:t>-1</w:t>
      </w:r>
      <w:r w:rsidR="00C07187" w:rsidRPr="00C07187">
        <w:rPr>
          <w:sz w:val="22"/>
          <w:szCs w:val="22"/>
          <w:lang w:val="en-US"/>
        </w:rPr>
        <w:t>) between two different 4 h intervals (n=3).</w:t>
      </w:r>
      <w:r w:rsidR="00C07187">
        <w:rPr>
          <w:sz w:val="22"/>
          <w:szCs w:val="22"/>
          <w:lang w:val="en-US"/>
        </w:rPr>
        <w:t xml:space="preserve"> </w:t>
      </w:r>
      <w:r w:rsidR="00C07187" w:rsidRPr="00C07187">
        <w:rPr>
          <w:sz w:val="22"/>
          <w:szCs w:val="22"/>
          <w:lang w:val="en-US"/>
        </w:rPr>
        <w:t>The rate of migration</w:t>
      </w:r>
    </w:p>
    <w:p w:rsidR="00C07187" w:rsidRPr="0085740C" w:rsidRDefault="00C07187" w:rsidP="00C07187">
      <w:pPr>
        <w:spacing w:line="480" w:lineRule="auto"/>
        <w:jc w:val="both"/>
        <w:rPr>
          <w:sz w:val="22"/>
          <w:szCs w:val="22"/>
          <w:lang w:val="en-US"/>
        </w:rPr>
      </w:pPr>
      <w:r w:rsidRPr="00C07187">
        <w:rPr>
          <w:sz w:val="22"/>
          <w:szCs w:val="22"/>
          <w:lang w:val="en-US"/>
        </w:rPr>
        <w:t>was determined by calculating the slope of the line between two given time points.</w:t>
      </w:r>
    </w:p>
    <w:p w:rsidR="0085740C" w:rsidRDefault="0085740C" w:rsidP="00E063A5">
      <w:pPr>
        <w:autoSpaceDE w:val="0"/>
        <w:autoSpaceDN w:val="0"/>
        <w:adjustRightInd w:val="0"/>
        <w:spacing w:line="480" w:lineRule="auto"/>
        <w:jc w:val="both"/>
        <w:rPr>
          <w:b/>
          <w:sz w:val="22"/>
          <w:szCs w:val="22"/>
          <w:lang w:val="en-US"/>
        </w:rPr>
      </w:pPr>
    </w:p>
    <w:p w:rsidR="00E063A5" w:rsidRPr="002E6F22" w:rsidRDefault="00E063A5" w:rsidP="00E063A5">
      <w:pPr>
        <w:autoSpaceDE w:val="0"/>
        <w:autoSpaceDN w:val="0"/>
        <w:adjustRightInd w:val="0"/>
        <w:spacing w:line="480" w:lineRule="auto"/>
        <w:jc w:val="both"/>
        <w:rPr>
          <w:b/>
          <w:sz w:val="22"/>
          <w:szCs w:val="22"/>
          <w:lang w:val="en-US"/>
        </w:rPr>
      </w:pPr>
      <w:r w:rsidRPr="002E6F22">
        <w:rPr>
          <w:b/>
          <w:sz w:val="22"/>
          <w:szCs w:val="22"/>
          <w:lang w:val="en-US"/>
        </w:rPr>
        <w:t>Quantification of protrusions and PAR3 staining in the membrane</w:t>
      </w:r>
    </w:p>
    <w:p w:rsidR="00E063A5" w:rsidRDefault="00E063A5" w:rsidP="00E063A5">
      <w:pPr>
        <w:autoSpaceDE w:val="0"/>
        <w:autoSpaceDN w:val="0"/>
        <w:adjustRightInd w:val="0"/>
        <w:spacing w:line="480" w:lineRule="auto"/>
        <w:jc w:val="both"/>
        <w:rPr>
          <w:sz w:val="22"/>
          <w:szCs w:val="22"/>
          <w:lang w:val="en-US"/>
        </w:rPr>
      </w:pPr>
      <w:r w:rsidRPr="003C3BB2">
        <w:rPr>
          <w:sz w:val="22"/>
          <w:szCs w:val="22"/>
          <w:lang w:val="en-US"/>
        </w:rPr>
        <w:t xml:space="preserve">To evaluate the localization of PAR3 in cells, transiently </w:t>
      </w:r>
      <w:proofErr w:type="spellStart"/>
      <w:r w:rsidRPr="003C3BB2">
        <w:rPr>
          <w:sz w:val="22"/>
          <w:szCs w:val="22"/>
          <w:lang w:val="en-US"/>
        </w:rPr>
        <w:t>transfected</w:t>
      </w:r>
      <w:proofErr w:type="spellEnd"/>
      <w:r w:rsidRPr="003C3BB2">
        <w:rPr>
          <w:sz w:val="22"/>
          <w:szCs w:val="22"/>
          <w:lang w:val="en-US"/>
        </w:rPr>
        <w:t xml:space="preserve"> cells were fixed and </w:t>
      </w:r>
      <w:proofErr w:type="spellStart"/>
      <w:r w:rsidRPr="003C3BB2">
        <w:rPr>
          <w:sz w:val="22"/>
          <w:szCs w:val="22"/>
          <w:lang w:val="en-US"/>
        </w:rPr>
        <w:t>immunostained</w:t>
      </w:r>
      <w:proofErr w:type="spellEnd"/>
      <w:r w:rsidRPr="003C3BB2">
        <w:rPr>
          <w:sz w:val="22"/>
          <w:szCs w:val="22"/>
          <w:lang w:val="en-US"/>
        </w:rPr>
        <w:t xml:space="preserve"> against HA.  Random fields from each digital image were counted. The number of cells, expressed as a percentage of the total number of cells examined, showing stronger PAR3 staining at the membrane than of the cytoplasm were judged to have predominant PAR3 at the membrane. 100-120 cells were randomly selected and counted for each condition.</w:t>
      </w:r>
    </w:p>
    <w:p w:rsidR="00933B68" w:rsidRDefault="00933B68" w:rsidP="00933B68">
      <w:pPr>
        <w:spacing w:line="480" w:lineRule="auto"/>
        <w:jc w:val="both"/>
        <w:rPr>
          <w:b/>
          <w:sz w:val="22"/>
          <w:szCs w:val="22"/>
          <w:lang w:val="en-US"/>
        </w:rPr>
      </w:pPr>
    </w:p>
    <w:p w:rsidR="00933B68" w:rsidRDefault="00933B68" w:rsidP="00933B68">
      <w:pPr>
        <w:spacing w:line="480" w:lineRule="auto"/>
        <w:jc w:val="both"/>
        <w:rPr>
          <w:b/>
          <w:sz w:val="22"/>
          <w:szCs w:val="22"/>
          <w:lang w:val="en-US"/>
        </w:rPr>
      </w:pPr>
      <w:r w:rsidRPr="00862186">
        <w:rPr>
          <w:b/>
          <w:sz w:val="22"/>
          <w:szCs w:val="22"/>
          <w:lang w:val="en-US"/>
        </w:rPr>
        <w:t xml:space="preserve">RAC1 activation assay </w:t>
      </w:r>
      <w:r>
        <w:rPr>
          <w:b/>
          <w:sz w:val="22"/>
          <w:szCs w:val="22"/>
          <w:lang w:val="en-US"/>
        </w:rPr>
        <w:t>and c</w:t>
      </w:r>
      <w:r w:rsidRPr="00862186">
        <w:rPr>
          <w:b/>
          <w:sz w:val="22"/>
          <w:szCs w:val="22"/>
          <w:lang w:val="en-US"/>
        </w:rPr>
        <w:t>alcium switch assays</w:t>
      </w:r>
    </w:p>
    <w:p w:rsidR="00933B68" w:rsidRPr="00862186" w:rsidRDefault="00933B68" w:rsidP="00933B68">
      <w:pPr>
        <w:spacing w:line="480" w:lineRule="auto"/>
        <w:jc w:val="both"/>
        <w:rPr>
          <w:sz w:val="22"/>
          <w:szCs w:val="22"/>
          <w:lang w:val="en-US"/>
        </w:rPr>
      </w:pPr>
      <w:r w:rsidRPr="00862186">
        <w:rPr>
          <w:sz w:val="22"/>
          <w:szCs w:val="22"/>
          <w:lang w:val="en-US"/>
        </w:rPr>
        <w:t xml:space="preserve"> To determine the levels of RAC1 bound to GTP (activated RAC1) we used the Rac1/Cdc42 Activation Assay Kit (Millipore, Temecula, CA). Equal amounts of cell </w:t>
      </w:r>
      <w:proofErr w:type="spellStart"/>
      <w:r w:rsidRPr="00862186">
        <w:rPr>
          <w:sz w:val="22"/>
          <w:szCs w:val="22"/>
          <w:lang w:val="en-US"/>
        </w:rPr>
        <w:t>lysates</w:t>
      </w:r>
      <w:proofErr w:type="spellEnd"/>
      <w:r w:rsidRPr="00862186">
        <w:rPr>
          <w:sz w:val="22"/>
          <w:szCs w:val="22"/>
          <w:lang w:val="en-US"/>
        </w:rPr>
        <w:t xml:space="preserve"> were prepared and incubated with 10 </w:t>
      </w:r>
      <w:proofErr w:type="spellStart"/>
      <w:r w:rsidRPr="00862186">
        <w:rPr>
          <w:sz w:val="22"/>
          <w:szCs w:val="22"/>
          <w:lang w:val="en-US"/>
        </w:rPr>
        <w:t>μg</w:t>
      </w:r>
      <w:proofErr w:type="spellEnd"/>
      <w:r w:rsidRPr="00862186">
        <w:rPr>
          <w:sz w:val="22"/>
          <w:szCs w:val="22"/>
          <w:lang w:val="en-US"/>
        </w:rPr>
        <w:t xml:space="preserve"> of PAK-1 PBD </w:t>
      </w:r>
      <w:proofErr w:type="spellStart"/>
      <w:r w:rsidRPr="00862186">
        <w:rPr>
          <w:sz w:val="22"/>
          <w:szCs w:val="22"/>
          <w:lang w:val="en-US"/>
        </w:rPr>
        <w:t>agarose</w:t>
      </w:r>
      <w:proofErr w:type="spellEnd"/>
      <w:r w:rsidRPr="00862186">
        <w:rPr>
          <w:sz w:val="22"/>
          <w:szCs w:val="22"/>
          <w:lang w:val="en-US"/>
        </w:rPr>
        <w:t xml:space="preserve"> to bind activated RAC1 (RAC1-GTP). The proteins bound to PAK-1 PBD were separated by SDS-PAGE, transferred to PVDF and probed with an</w:t>
      </w:r>
      <w:r>
        <w:rPr>
          <w:sz w:val="22"/>
          <w:szCs w:val="22"/>
          <w:lang w:val="en-US"/>
        </w:rPr>
        <w:t>ti-RAC1 mouse monoclonal antibody</w:t>
      </w:r>
      <w:r w:rsidRPr="00862186">
        <w:rPr>
          <w:sz w:val="22"/>
          <w:szCs w:val="22"/>
          <w:lang w:val="en-US"/>
        </w:rPr>
        <w:t xml:space="preserve">. To ensure equal protein loading, we also subjected the same amounts of cell </w:t>
      </w:r>
      <w:proofErr w:type="spellStart"/>
      <w:r w:rsidRPr="00862186">
        <w:rPr>
          <w:sz w:val="22"/>
          <w:szCs w:val="22"/>
          <w:lang w:val="en-US"/>
        </w:rPr>
        <w:t>lysates</w:t>
      </w:r>
      <w:proofErr w:type="spellEnd"/>
      <w:r w:rsidRPr="00862186">
        <w:rPr>
          <w:sz w:val="22"/>
          <w:szCs w:val="22"/>
          <w:lang w:val="en-US"/>
        </w:rPr>
        <w:t xml:space="preserve"> to Western blot analysis using antibodies against RAC1.</w:t>
      </w:r>
    </w:p>
    <w:p w:rsidR="00933B68" w:rsidRDefault="00933B68" w:rsidP="00933B68">
      <w:pPr>
        <w:spacing w:line="480" w:lineRule="auto"/>
        <w:jc w:val="both"/>
        <w:rPr>
          <w:sz w:val="22"/>
          <w:szCs w:val="22"/>
          <w:lang w:val="en-US"/>
        </w:rPr>
      </w:pPr>
      <w:r w:rsidRPr="00862186">
        <w:rPr>
          <w:sz w:val="22"/>
          <w:szCs w:val="22"/>
          <w:lang w:val="en-US"/>
        </w:rPr>
        <w:t>To disrupt cell-cell junctions we used calcium switch experiments. Briefly, cells were grown up to confluence and then were incubated</w:t>
      </w:r>
      <w:r w:rsidRPr="00862186" w:rsidDel="00612165">
        <w:rPr>
          <w:sz w:val="22"/>
          <w:szCs w:val="22"/>
          <w:lang w:val="en-US"/>
        </w:rPr>
        <w:t xml:space="preserve"> </w:t>
      </w:r>
      <w:r w:rsidRPr="00862186">
        <w:rPr>
          <w:sz w:val="22"/>
          <w:szCs w:val="22"/>
          <w:lang w:val="en-US"/>
        </w:rPr>
        <w:t xml:space="preserve">with 4 </w:t>
      </w:r>
      <w:proofErr w:type="spellStart"/>
      <w:r w:rsidRPr="00862186">
        <w:rPr>
          <w:sz w:val="22"/>
          <w:szCs w:val="22"/>
          <w:lang w:val="en-US"/>
        </w:rPr>
        <w:t>m</w:t>
      </w:r>
      <w:r>
        <w:rPr>
          <w:sz w:val="22"/>
          <w:szCs w:val="22"/>
          <w:lang w:val="en-US"/>
        </w:rPr>
        <w:t>M</w:t>
      </w:r>
      <w:proofErr w:type="spellEnd"/>
      <w:r w:rsidRPr="00862186">
        <w:rPr>
          <w:sz w:val="22"/>
          <w:szCs w:val="22"/>
          <w:lang w:val="en-US"/>
        </w:rPr>
        <w:t xml:space="preserve"> EGTA for 30-60 min at 37 °C. After that, the cells were cultured in regular media at the indicated hours, to re-establish the cell-cell contacts.</w:t>
      </w:r>
    </w:p>
    <w:p w:rsidR="0016657F" w:rsidRDefault="0016657F" w:rsidP="00E063A5">
      <w:pPr>
        <w:autoSpaceDE w:val="0"/>
        <w:autoSpaceDN w:val="0"/>
        <w:adjustRightInd w:val="0"/>
        <w:spacing w:line="480" w:lineRule="auto"/>
        <w:jc w:val="both"/>
        <w:rPr>
          <w:sz w:val="22"/>
          <w:szCs w:val="22"/>
          <w:lang w:val="en-US"/>
        </w:rPr>
      </w:pPr>
    </w:p>
    <w:p w:rsidR="00933B68" w:rsidRDefault="00933B68" w:rsidP="00E063A5">
      <w:pPr>
        <w:autoSpaceDE w:val="0"/>
        <w:autoSpaceDN w:val="0"/>
        <w:adjustRightInd w:val="0"/>
        <w:spacing w:line="480" w:lineRule="auto"/>
        <w:jc w:val="both"/>
        <w:rPr>
          <w:sz w:val="22"/>
          <w:szCs w:val="22"/>
          <w:lang w:val="en-US"/>
        </w:rPr>
      </w:pPr>
    </w:p>
    <w:p w:rsidR="000E76E9" w:rsidRPr="004C49DB" w:rsidRDefault="000E76E9" w:rsidP="00E063A5">
      <w:pPr>
        <w:autoSpaceDE w:val="0"/>
        <w:autoSpaceDN w:val="0"/>
        <w:adjustRightInd w:val="0"/>
        <w:spacing w:line="480" w:lineRule="auto"/>
        <w:jc w:val="both"/>
        <w:rPr>
          <w:sz w:val="22"/>
          <w:szCs w:val="22"/>
          <w:lang w:val="en-US"/>
        </w:rPr>
      </w:pPr>
    </w:p>
    <w:p w:rsidR="00E063A5" w:rsidRPr="004C49DB" w:rsidRDefault="00E063A5" w:rsidP="00E063A5">
      <w:pPr>
        <w:autoSpaceDE w:val="0"/>
        <w:autoSpaceDN w:val="0"/>
        <w:adjustRightInd w:val="0"/>
        <w:spacing w:line="480" w:lineRule="auto"/>
        <w:jc w:val="both"/>
        <w:rPr>
          <w:b/>
          <w:sz w:val="22"/>
          <w:szCs w:val="22"/>
          <w:lang w:val="en-US"/>
        </w:rPr>
      </w:pPr>
      <w:r w:rsidRPr="004C49DB">
        <w:rPr>
          <w:b/>
          <w:sz w:val="22"/>
          <w:szCs w:val="22"/>
          <w:lang w:val="en-US"/>
        </w:rPr>
        <w:lastRenderedPageBreak/>
        <w:t xml:space="preserve">Antibodies, western blot, </w:t>
      </w:r>
      <w:proofErr w:type="spellStart"/>
      <w:r w:rsidRPr="004C49DB">
        <w:rPr>
          <w:b/>
          <w:sz w:val="22"/>
          <w:szCs w:val="22"/>
          <w:lang w:val="en-US"/>
        </w:rPr>
        <w:t>immunofluorescence</w:t>
      </w:r>
      <w:proofErr w:type="spellEnd"/>
      <w:r w:rsidRPr="004C49DB">
        <w:rPr>
          <w:b/>
          <w:sz w:val="22"/>
          <w:szCs w:val="22"/>
          <w:lang w:val="en-US"/>
        </w:rPr>
        <w:t xml:space="preserve">, </w:t>
      </w:r>
      <w:proofErr w:type="spellStart"/>
      <w:r w:rsidRPr="004C49DB">
        <w:rPr>
          <w:b/>
          <w:sz w:val="22"/>
          <w:szCs w:val="22"/>
          <w:lang w:val="en-US"/>
        </w:rPr>
        <w:t>immunoprecipitation</w:t>
      </w:r>
      <w:proofErr w:type="spellEnd"/>
      <w:r w:rsidRPr="004C49DB">
        <w:rPr>
          <w:b/>
          <w:sz w:val="22"/>
          <w:szCs w:val="22"/>
          <w:lang w:val="en-US"/>
        </w:rPr>
        <w:t xml:space="preserve"> and </w:t>
      </w:r>
      <w:proofErr w:type="spellStart"/>
      <w:r w:rsidRPr="004C49DB">
        <w:rPr>
          <w:b/>
          <w:sz w:val="22"/>
          <w:szCs w:val="22"/>
          <w:lang w:val="en-US"/>
        </w:rPr>
        <w:t>immunostaining</w:t>
      </w:r>
      <w:proofErr w:type="spellEnd"/>
      <w:r w:rsidRPr="004C49DB">
        <w:rPr>
          <w:b/>
          <w:sz w:val="22"/>
          <w:szCs w:val="22"/>
          <w:lang w:val="en-US"/>
        </w:rPr>
        <w:t xml:space="preserve"> </w:t>
      </w:r>
    </w:p>
    <w:p w:rsidR="00E063A5" w:rsidRPr="004C49DB" w:rsidRDefault="00E063A5" w:rsidP="00E063A5">
      <w:pPr>
        <w:autoSpaceDE w:val="0"/>
        <w:autoSpaceDN w:val="0"/>
        <w:adjustRightInd w:val="0"/>
        <w:spacing w:line="480" w:lineRule="auto"/>
        <w:jc w:val="both"/>
        <w:rPr>
          <w:rFonts w:eastAsia="MS Mincho"/>
          <w:sz w:val="22"/>
          <w:szCs w:val="22"/>
          <w:lang w:val="en-US" w:eastAsia="ja-JP"/>
        </w:rPr>
      </w:pPr>
      <w:r w:rsidRPr="004C49DB">
        <w:rPr>
          <w:rFonts w:eastAsia="MS Mincho"/>
          <w:sz w:val="22"/>
          <w:szCs w:val="22"/>
          <w:lang w:val="en-US" w:eastAsia="ja-JP"/>
        </w:rPr>
        <w:t xml:space="preserve">Anti-PAR3 (07-330, Millipore, Temecula, CA), anti-ZO1 (339194, </w:t>
      </w:r>
      <w:proofErr w:type="spellStart"/>
      <w:r w:rsidRPr="004C49DB">
        <w:rPr>
          <w:rFonts w:eastAsia="MS Mincho"/>
          <w:sz w:val="22"/>
          <w:szCs w:val="22"/>
          <w:lang w:val="en-US" w:eastAsia="ja-JP"/>
        </w:rPr>
        <w:t>Invitrogen</w:t>
      </w:r>
      <w:proofErr w:type="spellEnd"/>
      <w:r w:rsidRPr="004C49DB">
        <w:rPr>
          <w:rFonts w:eastAsia="MS Mincho"/>
          <w:sz w:val="22"/>
          <w:szCs w:val="22"/>
          <w:lang w:val="en-US" w:eastAsia="ja-JP"/>
        </w:rPr>
        <w:t xml:space="preserve">), anti-HA (H6908, Sigma-Aldrich, Saint Louis, MO), anti-TUBULIN (21058, </w:t>
      </w:r>
      <w:proofErr w:type="spellStart"/>
      <w:r w:rsidRPr="004C49DB">
        <w:rPr>
          <w:rFonts w:eastAsia="MS Mincho"/>
          <w:sz w:val="22"/>
          <w:szCs w:val="22"/>
          <w:lang w:val="en-US" w:eastAsia="ja-JP"/>
        </w:rPr>
        <w:t>Abcam</w:t>
      </w:r>
      <w:proofErr w:type="spellEnd"/>
      <w:r w:rsidRPr="004C49DB">
        <w:rPr>
          <w:rFonts w:eastAsia="MS Mincho"/>
          <w:sz w:val="22"/>
          <w:szCs w:val="22"/>
          <w:lang w:val="en-US" w:eastAsia="ja-JP"/>
        </w:rPr>
        <w:t xml:space="preserve">, Cambridge, MA), anti-PHALLOIDIN (A12380, </w:t>
      </w:r>
      <w:proofErr w:type="spellStart"/>
      <w:r w:rsidRPr="004C49DB">
        <w:rPr>
          <w:rFonts w:eastAsia="MS Mincho"/>
          <w:sz w:val="22"/>
          <w:szCs w:val="22"/>
          <w:lang w:val="en-US" w:eastAsia="ja-JP"/>
        </w:rPr>
        <w:t>Invitrogen</w:t>
      </w:r>
      <w:proofErr w:type="spellEnd"/>
      <w:r w:rsidRPr="004C49DB">
        <w:rPr>
          <w:rFonts w:eastAsia="MS Mincho"/>
          <w:sz w:val="22"/>
          <w:szCs w:val="22"/>
          <w:lang w:val="en-US" w:eastAsia="ja-JP"/>
        </w:rPr>
        <w:t>),</w:t>
      </w:r>
      <w:r w:rsidRPr="004C49DB">
        <w:rPr>
          <w:sz w:val="22"/>
          <w:szCs w:val="22"/>
          <w:lang w:val="en-US"/>
        </w:rPr>
        <w:t xml:space="preserve"> </w:t>
      </w:r>
      <w:r w:rsidRPr="004C49DB">
        <w:rPr>
          <w:rFonts w:eastAsia="MS Mincho"/>
          <w:sz w:val="22"/>
          <w:szCs w:val="22"/>
          <w:lang w:val="en-US" w:eastAsia="ja-JP"/>
        </w:rPr>
        <w:t>anti-</w:t>
      </w:r>
      <w:proofErr w:type="spellStart"/>
      <w:r w:rsidRPr="004C49DB">
        <w:rPr>
          <w:rFonts w:eastAsia="MS Mincho"/>
          <w:sz w:val="22"/>
          <w:szCs w:val="22"/>
          <w:lang w:val="en-US" w:eastAsia="ja-JP"/>
        </w:rPr>
        <w:t>aPKC</w:t>
      </w:r>
      <w:proofErr w:type="spellEnd"/>
      <w:r w:rsidRPr="004C49DB">
        <w:rPr>
          <w:rFonts w:eastAsia="MS Mincho"/>
          <w:sz w:val="22"/>
          <w:szCs w:val="22"/>
          <w:lang w:val="en-US" w:eastAsia="ja-JP"/>
        </w:rPr>
        <w:t xml:space="preserve"> (17837, Santa Cruz Biotechnologies, Santa Cruz, CA), anti-</w:t>
      </w:r>
      <w:proofErr w:type="spellStart"/>
      <w:r w:rsidRPr="004C49DB">
        <w:rPr>
          <w:rFonts w:eastAsia="MS Mincho"/>
          <w:sz w:val="22"/>
          <w:szCs w:val="22"/>
          <w:lang w:val="en-US" w:eastAsia="ja-JP"/>
        </w:rPr>
        <w:t>phospho</w:t>
      </w:r>
      <w:proofErr w:type="spellEnd"/>
      <w:r w:rsidRPr="004C49DB">
        <w:rPr>
          <w:rFonts w:eastAsia="MS Mincho"/>
          <w:sz w:val="22"/>
          <w:szCs w:val="22"/>
          <w:lang w:val="en-US" w:eastAsia="ja-JP"/>
        </w:rPr>
        <w:t>-</w:t>
      </w:r>
      <w:proofErr w:type="spellStart"/>
      <w:r w:rsidRPr="004C49DB">
        <w:rPr>
          <w:rFonts w:eastAsia="MS Mincho"/>
          <w:sz w:val="22"/>
          <w:szCs w:val="22"/>
          <w:lang w:val="en-US" w:eastAsia="ja-JP"/>
        </w:rPr>
        <w:t>aPKC</w:t>
      </w:r>
      <w:proofErr w:type="spellEnd"/>
      <w:r w:rsidRPr="004C49DB">
        <w:rPr>
          <w:rFonts w:eastAsia="MS Mincho"/>
          <w:sz w:val="22"/>
          <w:szCs w:val="22"/>
          <w:lang w:val="en-US" w:eastAsia="ja-JP"/>
        </w:rPr>
        <w:t xml:space="preserve">  (76129, </w:t>
      </w:r>
      <w:proofErr w:type="spellStart"/>
      <w:r w:rsidRPr="004C49DB">
        <w:rPr>
          <w:rFonts w:eastAsia="MS Mincho"/>
          <w:sz w:val="22"/>
          <w:szCs w:val="22"/>
          <w:lang w:val="en-US" w:eastAsia="ja-JP"/>
        </w:rPr>
        <w:t>Abcam</w:t>
      </w:r>
      <w:proofErr w:type="spellEnd"/>
      <w:r w:rsidRPr="004C49DB">
        <w:rPr>
          <w:rFonts w:eastAsia="MS Mincho"/>
          <w:sz w:val="22"/>
          <w:szCs w:val="22"/>
          <w:lang w:val="en-US" w:eastAsia="ja-JP"/>
        </w:rPr>
        <w:t xml:space="preserve">), anti-BACTIN (1616, Santa Cruz Biotechnologies), anti-STAT3 (9132, Cell Signaling, Danvers, MA), anti-phosphoSTAT3 (4113, Cell Signaling) and anti RAC1 (05-389, Millipore) antibodies were used for western blot, </w:t>
      </w:r>
      <w:proofErr w:type="spellStart"/>
      <w:r w:rsidRPr="004C49DB">
        <w:rPr>
          <w:rFonts w:eastAsia="MS Mincho"/>
          <w:sz w:val="22"/>
          <w:szCs w:val="22"/>
          <w:lang w:val="en-US" w:eastAsia="ja-JP"/>
        </w:rPr>
        <w:t>immunoprecipitation</w:t>
      </w:r>
      <w:proofErr w:type="spellEnd"/>
      <w:r w:rsidRPr="004C49DB">
        <w:rPr>
          <w:rFonts w:eastAsia="MS Mincho"/>
          <w:sz w:val="22"/>
          <w:szCs w:val="22"/>
          <w:lang w:val="en-US" w:eastAsia="ja-JP"/>
        </w:rPr>
        <w:t xml:space="preserve"> and/or </w:t>
      </w:r>
      <w:proofErr w:type="spellStart"/>
      <w:r w:rsidRPr="004C49DB">
        <w:rPr>
          <w:rFonts w:eastAsia="MS Mincho"/>
          <w:sz w:val="22"/>
          <w:szCs w:val="22"/>
          <w:lang w:val="en-US" w:eastAsia="ja-JP"/>
        </w:rPr>
        <w:t>immunofluorescence</w:t>
      </w:r>
      <w:proofErr w:type="spellEnd"/>
      <w:r w:rsidRPr="004C49DB">
        <w:rPr>
          <w:rFonts w:eastAsia="MS Mincho"/>
          <w:sz w:val="22"/>
          <w:szCs w:val="22"/>
          <w:lang w:val="en-US" w:eastAsia="ja-JP"/>
        </w:rPr>
        <w:t xml:space="preserve">. For western blots, cells were scraped from the dishes into </w:t>
      </w:r>
      <w:proofErr w:type="spellStart"/>
      <w:r w:rsidRPr="004C49DB">
        <w:rPr>
          <w:rFonts w:eastAsia="MS Mincho"/>
          <w:sz w:val="22"/>
          <w:szCs w:val="22"/>
          <w:lang w:val="en-US" w:eastAsia="ja-JP"/>
        </w:rPr>
        <w:t>lysis</w:t>
      </w:r>
      <w:proofErr w:type="spellEnd"/>
      <w:r w:rsidRPr="004C49DB">
        <w:rPr>
          <w:rFonts w:eastAsia="MS Mincho"/>
          <w:sz w:val="22"/>
          <w:szCs w:val="22"/>
          <w:lang w:val="en-US" w:eastAsia="ja-JP"/>
        </w:rPr>
        <w:t xml:space="preserve"> buffer and 50 </w:t>
      </w:r>
      <w:proofErr w:type="spellStart"/>
      <w:r w:rsidRPr="004C49DB">
        <w:rPr>
          <w:rFonts w:eastAsia="MS Mincho"/>
          <w:sz w:val="22"/>
          <w:szCs w:val="22"/>
          <w:lang w:val="en-US" w:eastAsia="ja-JP"/>
        </w:rPr>
        <w:t>μg</w:t>
      </w:r>
      <w:proofErr w:type="spellEnd"/>
      <w:r w:rsidRPr="004C49DB">
        <w:rPr>
          <w:rFonts w:eastAsia="MS Mincho"/>
          <w:sz w:val="22"/>
          <w:szCs w:val="22"/>
          <w:lang w:val="en-US" w:eastAsia="ja-JP"/>
        </w:rPr>
        <w:t xml:space="preserve"> of total protein was separated by SDS-PAGE, transferred to a PVDF and western blotted according to the antibody manufacturer’s suggestions. The seco</w:t>
      </w:r>
      <w:r w:rsidR="00F05128">
        <w:rPr>
          <w:rFonts w:eastAsia="MS Mincho"/>
          <w:sz w:val="22"/>
          <w:szCs w:val="22"/>
          <w:lang w:val="en-US" w:eastAsia="ja-JP"/>
        </w:rPr>
        <w:t>ndary antibodies anti-mouse HRP and anti-r</w:t>
      </w:r>
      <w:r w:rsidRPr="004C49DB">
        <w:rPr>
          <w:rFonts w:eastAsia="MS Mincho"/>
          <w:sz w:val="22"/>
          <w:szCs w:val="22"/>
          <w:lang w:val="en-US" w:eastAsia="ja-JP"/>
        </w:rPr>
        <w:t xml:space="preserve">abbit HRP (DAKO, </w:t>
      </w:r>
      <w:proofErr w:type="spellStart"/>
      <w:r w:rsidRPr="004C49DB">
        <w:rPr>
          <w:rFonts w:eastAsia="MS Mincho"/>
          <w:sz w:val="22"/>
          <w:szCs w:val="22"/>
          <w:lang w:val="en-US" w:eastAsia="ja-JP"/>
        </w:rPr>
        <w:t>Glostrup</w:t>
      </w:r>
      <w:proofErr w:type="spellEnd"/>
      <w:r w:rsidRPr="004C49DB">
        <w:rPr>
          <w:rFonts w:eastAsia="MS Mincho"/>
          <w:sz w:val="22"/>
          <w:szCs w:val="22"/>
          <w:lang w:val="en-US" w:eastAsia="ja-JP"/>
        </w:rPr>
        <w:t xml:space="preserve">, Denmark) were used at a final dilution of 1:5000.  For </w:t>
      </w:r>
      <w:proofErr w:type="spellStart"/>
      <w:r w:rsidRPr="004C49DB">
        <w:rPr>
          <w:rFonts w:eastAsia="MS Mincho"/>
          <w:sz w:val="22"/>
          <w:szCs w:val="22"/>
          <w:lang w:val="en-US" w:eastAsia="ja-JP"/>
        </w:rPr>
        <w:t>immunofluorescence</w:t>
      </w:r>
      <w:proofErr w:type="spellEnd"/>
      <w:r w:rsidRPr="004C49DB">
        <w:rPr>
          <w:rFonts w:eastAsia="MS Mincho"/>
          <w:sz w:val="22"/>
          <w:szCs w:val="22"/>
          <w:lang w:val="en-US" w:eastAsia="ja-JP"/>
        </w:rPr>
        <w:t xml:space="preserve">, cells growing on </w:t>
      </w:r>
      <w:proofErr w:type="spellStart"/>
      <w:r w:rsidRPr="004C49DB">
        <w:rPr>
          <w:rFonts w:eastAsia="MS Mincho"/>
          <w:sz w:val="22"/>
          <w:szCs w:val="22"/>
          <w:lang w:val="en-US" w:eastAsia="ja-JP"/>
        </w:rPr>
        <w:t>coverslips</w:t>
      </w:r>
      <w:proofErr w:type="spellEnd"/>
      <w:r w:rsidRPr="004C49DB">
        <w:rPr>
          <w:rFonts w:eastAsia="MS Mincho"/>
          <w:sz w:val="22"/>
          <w:szCs w:val="22"/>
          <w:lang w:val="en-US" w:eastAsia="ja-JP"/>
        </w:rPr>
        <w:t xml:space="preserve"> were treated with </w:t>
      </w:r>
      <w:proofErr w:type="spellStart"/>
      <w:r w:rsidRPr="004C49DB">
        <w:rPr>
          <w:rFonts w:eastAsia="MS Mincho"/>
          <w:sz w:val="22"/>
          <w:szCs w:val="22"/>
          <w:lang w:val="en-US" w:eastAsia="ja-JP"/>
        </w:rPr>
        <w:t>doxycycline</w:t>
      </w:r>
      <w:proofErr w:type="spellEnd"/>
      <w:r w:rsidRPr="004C49DB">
        <w:rPr>
          <w:rFonts w:eastAsia="MS Mincho"/>
          <w:sz w:val="22"/>
          <w:szCs w:val="22"/>
          <w:lang w:val="en-US" w:eastAsia="ja-JP"/>
        </w:rPr>
        <w:t xml:space="preserve"> or infected transiently with the various PAR3 constructs. After 24 h the </w:t>
      </w:r>
      <w:proofErr w:type="spellStart"/>
      <w:r w:rsidRPr="004C49DB">
        <w:rPr>
          <w:rFonts w:eastAsia="MS Mincho"/>
          <w:sz w:val="22"/>
          <w:szCs w:val="22"/>
          <w:lang w:val="en-US" w:eastAsia="ja-JP"/>
        </w:rPr>
        <w:t>coverslips</w:t>
      </w:r>
      <w:proofErr w:type="spellEnd"/>
      <w:r w:rsidRPr="004C49DB">
        <w:rPr>
          <w:rFonts w:eastAsia="MS Mincho"/>
          <w:sz w:val="22"/>
          <w:szCs w:val="22"/>
          <w:lang w:val="en-US" w:eastAsia="ja-JP"/>
        </w:rPr>
        <w:t xml:space="preserve"> were fixed in 4% formaldehyde (Electron Microscopy Sciences, Hatfield, UK) for 20 min. The preparation was washed in PBS and blocked with 2% BSA/0.1%Triton X-100 in PBS, then incubated for 1 h with the corresponding antibody. Excess antibody was removed by washing three times in 0.1% </w:t>
      </w:r>
      <w:proofErr w:type="spellStart"/>
      <w:r w:rsidRPr="004C49DB">
        <w:rPr>
          <w:rFonts w:eastAsia="MS Mincho"/>
          <w:sz w:val="22"/>
          <w:szCs w:val="22"/>
          <w:lang w:val="en-US" w:eastAsia="ja-JP"/>
        </w:rPr>
        <w:t>tween</w:t>
      </w:r>
      <w:proofErr w:type="spellEnd"/>
      <w:r w:rsidRPr="004C49DB">
        <w:rPr>
          <w:rFonts w:eastAsia="MS Mincho"/>
          <w:sz w:val="22"/>
          <w:szCs w:val="22"/>
          <w:lang w:val="en-US" w:eastAsia="ja-JP"/>
        </w:rPr>
        <w:t xml:space="preserve"> in PBS. Labeling was revealed with anti-mouse IgG-Alexa488 and IgG-Alexa594 (Molecular Probes, Eugene, OR) at 1:200 and incubated for 1 h. Cell nuclei were revealed by incubation with 1 µM DAPI (48,6-diamidino-2-phenylindole) for 5 min. All preparations were mounted with </w:t>
      </w:r>
      <w:proofErr w:type="spellStart"/>
      <w:r w:rsidRPr="004C49DB">
        <w:rPr>
          <w:rFonts w:eastAsia="MS Mincho"/>
          <w:sz w:val="22"/>
          <w:szCs w:val="22"/>
          <w:lang w:val="en-US" w:eastAsia="ja-JP"/>
        </w:rPr>
        <w:t>Mowiol</w:t>
      </w:r>
      <w:proofErr w:type="spellEnd"/>
      <w:r w:rsidRPr="004C49DB">
        <w:rPr>
          <w:rFonts w:eastAsia="MS Mincho"/>
          <w:sz w:val="22"/>
          <w:szCs w:val="22"/>
          <w:lang w:val="en-US" w:eastAsia="ja-JP"/>
        </w:rPr>
        <w:t xml:space="preserve"> mounting medium (Sigma-Aldrich). Fluorescence was analyzed using the </w:t>
      </w:r>
      <w:proofErr w:type="spellStart"/>
      <w:r w:rsidRPr="004C49DB">
        <w:rPr>
          <w:rFonts w:eastAsia="MS Mincho"/>
          <w:sz w:val="22"/>
          <w:szCs w:val="22"/>
          <w:lang w:val="en-US" w:eastAsia="ja-JP"/>
        </w:rPr>
        <w:t>Leica</w:t>
      </w:r>
      <w:proofErr w:type="spellEnd"/>
      <w:r w:rsidRPr="004C49DB">
        <w:rPr>
          <w:rFonts w:eastAsia="MS Mincho"/>
          <w:sz w:val="22"/>
          <w:szCs w:val="22"/>
          <w:lang w:val="en-US" w:eastAsia="ja-JP"/>
        </w:rPr>
        <w:t xml:space="preserve"> TCS SP5 inverted </w:t>
      </w:r>
      <w:proofErr w:type="spellStart"/>
      <w:r w:rsidRPr="004C49DB">
        <w:rPr>
          <w:rFonts w:eastAsia="MS Mincho"/>
          <w:sz w:val="22"/>
          <w:szCs w:val="22"/>
          <w:lang w:val="en-US" w:eastAsia="ja-JP"/>
        </w:rPr>
        <w:t>confocal</w:t>
      </w:r>
      <w:proofErr w:type="spellEnd"/>
      <w:r w:rsidRPr="004C49DB">
        <w:rPr>
          <w:rFonts w:eastAsia="MS Mincho"/>
          <w:sz w:val="22"/>
          <w:szCs w:val="22"/>
          <w:lang w:val="en-US" w:eastAsia="ja-JP"/>
        </w:rPr>
        <w:t xml:space="preserve"> spectral fluorescence microscope and the </w:t>
      </w:r>
      <w:proofErr w:type="spellStart"/>
      <w:r w:rsidRPr="004C49DB">
        <w:rPr>
          <w:rFonts w:eastAsia="MS Mincho"/>
          <w:sz w:val="22"/>
          <w:szCs w:val="22"/>
          <w:lang w:val="en-US" w:eastAsia="ja-JP"/>
        </w:rPr>
        <w:t>Zeiss</w:t>
      </w:r>
      <w:proofErr w:type="spellEnd"/>
      <w:r w:rsidRPr="004C49DB">
        <w:rPr>
          <w:rFonts w:eastAsia="MS Mincho"/>
          <w:sz w:val="22"/>
          <w:szCs w:val="22"/>
          <w:lang w:val="en-US" w:eastAsia="ja-JP"/>
        </w:rPr>
        <w:t xml:space="preserve"> </w:t>
      </w:r>
      <w:proofErr w:type="spellStart"/>
      <w:r w:rsidRPr="004C49DB">
        <w:rPr>
          <w:rFonts w:eastAsia="MS Mincho"/>
          <w:sz w:val="22"/>
          <w:szCs w:val="22"/>
          <w:lang w:val="en-US" w:eastAsia="ja-JP"/>
        </w:rPr>
        <w:t>Axio</w:t>
      </w:r>
      <w:proofErr w:type="spellEnd"/>
      <w:r w:rsidRPr="004C49DB">
        <w:rPr>
          <w:rFonts w:eastAsia="MS Mincho"/>
          <w:sz w:val="22"/>
          <w:szCs w:val="22"/>
          <w:lang w:val="en-US" w:eastAsia="ja-JP"/>
        </w:rPr>
        <w:t xml:space="preserve"> Observer Z1 </w:t>
      </w:r>
      <w:proofErr w:type="spellStart"/>
      <w:r w:rsidRPr="004C49DB">
        <w:rPr>
          <w:rFonts w:eastAsia="MS Mincho"/>
          <w:sz w:val="22"/>
          <w:szCs w:val="22"/>
          <w:lang w:val="en-US" w:eastAsia="ja-JP"/>
        </w:rPr>
        <w:t>Apotome</w:t>
      </w:r>
      <w:proofErr w:type="spellEnd"/>
      <w:r w:rsidRPr="004C49DB">
        <w:rPr>
          <w:rFonts w:eastAsia="MS Mincho"/>
          <w:sz w:val="22"/>
          <w:szCs w:val="22"/>
          <w:lang w:val="en-US" w:eastAsia="ja-JP"/>
        </w:rPr>
        <w:t>.</w:t>
      </w:r>
    </w:p>
    <w:p w:rsidR="00E063A5" w:rsidRPr="004C49DB" w:rsidRDefault="00E063A5" w:rsidP="00E063A5">
      <w:pPr>
        <w:autoSpaceDE w:val="0"/>
        <w:autoSpaceDN w:val="0"/>
        <w:adjustRightInd w:val="0"/>
        <w:spacing w:line="480" w:lineRule="auto"/>
        <w:jc w:val="both"/>
        <w:rPr>
          <w:rFonts w:eastAsia="MS Mincho"/>
          <w:sz w:val="22"/>
          <w:szCs w:val="22"/>
          <w:lang w:val="en-US" w:eastAsia="ja-JP"/>
        </w:rPr>
      </w:pPr>
      <w:r w:rsidRPr="004C49DB">
        <w:rPr>
          <w:sz w:val="22"/>
          <w:szCs w:val="22"/>
          <w:lang w:val="en-US"/>
        </w:rPr>
        <w:t xml:space="preserve">For </w:t>
      </w:r>
      <w:proofErr w:type="spellStart"/>
      <w:r w:rsidRPr="004C49DB">
        <w:rPr>
          <w:sz w:val="22"/>
          <w:szCs w:val="22"/>
          <w:lang w:val="en-US"/>
        </w:rPr>
        <w:t>immunoprecipitations</w:t>
      </w:r>
      <w:proofErr w:type="spellEnd"/>
      <w:r w:rsidRPr="004C49DB">
        <w:rPr>
          <w:sz w:val="22"/>
          <w:szCs w:val="22"/>
          <w:lang w:val="en-US"/>
        </w:rPr>
        <w:t xml:space="preserve">, H157 cells were </w:t>
      </w:r>
      <w:proofErr w:type="spellStart"/>
      <w:r w:rsidRPr="004C49DB">
        <w:rPr>
          <w:sz w:val="22"/>
          <w:szCs w:val="22"/>
          <w:lang w:val="en-US"/>
        </w:rPr>
        <w:t>transfected</w:t>
      </w:r>
      <w:proofErr w:type="spellEnd"/>
      <w:r w:rsidRPr="004C49DB">
        <w:rPr>
          <w:sz w:val="22"/>
          <w:szCs w:val="22"/>
          <w:lang w:val="en-US"/>
        </w:rPr>
        <w:t xml:space="preserve"> with the indicated plasmids. After 24 h, cells were </w:t>
      </w:r>
      <w:proofErr w:type="spellStart"/>
      <w:r w:rsidRPr="004C49DB">
        <w:rPr>
          <w:sz w:val="22"/>
          <w:szCs w:val="22"/>
          <w:lang w:val="en-US"/>
        </w:rPr>
        <w:t>lysed</w:t>
      </w:r>
      <w:proofErr w:type="spellEnd"/>
      <w:r w:rsidRPr="004C49DB">
        <w:rPr>
          <w:sz w:val="22"/>
          <w:szCs w:val="22"/>
          <w:lang w:val="en-US"/>
        </w:rPr>
        <w:t xml:space="preserve"> in 10 </w:t>
      </w:r>
      <w:proofErr w:type="spellStart"/>
      <w:r w:rsidRPr="004C49DB">
        <w:rPr>
          <w:sz w:val="22"/>
          <w:szCs w:val="22"/>
          <w:lang w:val="en-US"/>
        </w:rPr>
        <w:t>mM</w:t>
      </w:r>
      <w:proofErr w:type="spellEnd"/>
      <w:r w:rsidRPr="004C49DB">
        <w:rPr>
          <w:sz w:val="22"/>
          <w:szCs w:val="22"/>
          <w:lang w:val="en-US"/>
        </w:rPr>
        <w:t xml:space="preserve"> </w:t>
      </w:r>
      <w:proofErr w:type="spellStart"/>
      <w:r w:rsidRPr="004C49DB">
        <w:rPr>
          <w:sz w:val="22"/>
          <w:szCs w:val="22"/>
          <w:lang w:val="en-US"/>
        </w:rPr>
        <w:t>Tris-HCl</w:t>
      </w:r>
      <w:proofErr w:type="spellEnd"/>
      <w:r w:rsidRPr="004C49DB">
        <w:rPr>
          <w:sz w:val="22"/>
          <w:szCs w:val="22"/>
          <w:lang w:val="en-US"/>
        </w:rPr>
        <w:t xml:space="preserve">, pH 8.5 </w:t>
      </w:r>
      <w:proofErr w:type="spellStart"/>
      <w:r w:rsidRPr="004C49DB">
        <w:rPr>
          <w:sz w:val="22"/>
          <w:szCs w:val="22"/>
          <w:lang w:val="en-US"/>
        </w:rPr>
        <w:t>mM</w:t>
      </w:r>
      <w:proofErr w:type="spellEnd"/>
      <w:r w:rsidRPr="004C49DB">
        <w:rPr>
          <w:sz w:val="22"/>
          <w:szCs w:val="22"/>
          <w:lang w:val="en-US"/>
        </w:rPr>
        <w:t xml:space="preserve"> EDTA, 100 </w:t>
      </w:r>
      <w:proofErr w:type="spellStart"/>
      <w:r w:rsidRPr="004C49DB">
        <w:rPr>
          <w:sz w:val="22"/>
          <w:szCs w:val="22"/>
          <w:lang w:val="en-US"/>
        </w:rPr>
        <w:t>mM</w:t>
      </w:r>
      <w:proofErr w:type="spellEnd"/>
      <w:r w:rsidRPr="004C49DB">
        <w:rPr>
          <w:sz w:val="22"/>
          <w:szCs w:val="22"/>
          <w:lang w:val="en-US"/>
        </w:rPr>
        <w:t xml:space="preserve"> </w:t>
      </w:r>
      <w:proofErr w:type="spellStart"/>
      <w:r w:rsidRPr="004C49DB">
        <w:rPr>
          <w:sz w:val="22"/>
          <w:szCs w:val="22"/>
          <w:lang w:val="en-US"/>
        </w:rPr>
        <w:t>NaCl</w:t>
      </w:r>
      <w:proofErr w:type="spellEnd"/>
      <w:r w:rsidRPr="004C49DB">
        <w:rPr>
          <w:sz w:val="22"/>
          <w:szCs w:val="22"/>
          <w:lang w:val="en-US"/>
        </w:rPr>
        <w:t xml:space="preserve">, 10 </w:t>
      </w:r>
      <w:proofErr w:type="spellStart"/>
      <w:r w:rsidRPr="004C49DB">
        <w:rPr>
          <w:sz w:val="22"/>
          <w:szCs w:val="22"/>
          <w:lang w:val="en-US"/>
        </w:rPr>
        <w:t>mM</w:t>
      </w:r>
      <w:proofErr w:type="spellEnd"/>
      <w:r w:rsidRPr="004C49DB">
        <w:rPr>
          <w:sz w:val="22"/>
          <w:szCs w:val="22"/>
          <w:lang w:val="en-US"/>
        </w:rPr>
        <w:t xml:space="preserve"> </w:t>
      </w:r>
      <w:proofErr w:type="spellStart"/>
      <w:r w:rsidRPr="004C49DB">
        <w:rPr>
          <w:sz w:val="22"/>
          <w:szCs w:val="22"/>
          <w:lang w:val="en-US"/>
        </w:rPr>
        <w:t>NaF</w:t>
      </w:r>
      <w:proofErr w:type="spellEnd"/>
      <w:r w:rsidRPr="004C49DB">
        <w:rPr>
          <w:sz w:val="22"/>
          <w:szCs w:val="22"/>
          <w:lang w:val="en-US"/>
        </w:rPr>
        <w:t xml:space="preserve"> and 0.05% Triton X-100 supplemented with protease and </w:t>
      </w:r>
      <w:proofErr w:type="spellStart"/>
      <w:r w:rsidRPr="004C49DB">
        <w:rPr>
          <w:sz w:val="22"/>
          <w:szCs w:val="22"/>
          <w:lang w:val="en-US"/>
        </w:rPr>
        <w:t>phosphatase</w:t>
      </w:r>
      <w:proofErr w:type="spellEnd"/>
      <w:r w:rsidRPr="004C49DB">
        <w:rPr>
          <w:sz w:val="22"/>
          <w:szCs w:val="22"/>
          <w:lang w:val="en-US"/>
        </w:rPr>
        <w:t xml:space="preserve"> inhibitors, followed by clearance of </w:t>
      </w:r>
      <w:proofErr w:type="spellStart"/>
      <w:r w:rsidRPr="004C49DB">
        <w:rPr>
          <w:sz w:val="22"/>
          <w:szCs w:val="22"/>
          <w:lang w:val="en-US"/>
        </w:rPr>
        <w:t>lysates</w:t>
      </w:r>
      <w:proofErr w:type="spellEnd"/>
      <w:r w:rsidRPr="004C49DB">
        <w:rPr>
          <w:sz w:val="22"/>
          <w:szCs w:val="22"/>
          <w:lang w:val="en-US"/>
        </w:rPr>
        <w:t xml:space="preserve"> by </w:t>
      </w:r>
      <w:proofErr w:type="spellStart"/>
      <w:r w:rsidRPr="004C49DB">
        <w:rPr>
          <w:sz w:val="22"/>
          <w:szCs w:val="22"/>
          <w:lang w:val="en-US"/>
        </w:rPr>
        <w:t>microcentrifugation</w:t>
      </w:r>
      <w:proofErr w:type="spellEnd"/>
      <w:r w:rsidRPr="004C49DB">
        <w:rPr>
          <w:sz w:val="22"/>
          <w:szCs w:val="22"/>
          <w:lang w:val="en-US"/>
        </w:rPr>
        <w:t xml:space="preserve">. The soluble supernatants were </w:t>
      </w:r>
      <w:proofErr w:type="spellStart"/>
      <w:r w:rsidRPr="004C49DB">
        <w:rPr>
          <w:sz w:val="22"/>
          <w:szCs w:val="22"/>
          <w:lang w:val="en-US"/>
        </w:rPr>
        <w:t>precleared</w:t>
      </w:r>
      <w:proofErr w:type="spellEnd"/>
      <w:r w:rsidRPr="004C49DB">
        <w:rPr>
          <w:sz w:val="22"/>
          <w:szCs w:val="22"/>
          <w:lang w:val="en-US"/>
        </w:rPr>
        <w:t xml:space="preserve"> with protein A-</w:t>
      </w:r>
      <w:proofErr w:type="spellStart"/>
      <w:r w:rsidRPr="004C49DB">
        <w:rPr>
          <w:sz w:val="22"/>
          <w:szCs w:val="22"/>
          <w:lang w:val="en-US"/>
        </w:rPr>
        <w:t>Agarose</w:t>
      </w:r>
      <w:proofErr w:type="spellEnd"/>
      <w:r w:rsidRPr="004C49DB">
        <w:rPr>
          <w:sz w:val="22"/>
          <w:szCs w:val="22"/>
          <w:lang w:val="en-US"/>
        </w:rPr>
        <w:t xml:space="preserve"> beads (Millipore) for 1 h and incubated with the specific antibody ON at 4ºC. The </w:t>
      </w:r>
      <w:proofErr w:type="spellStart"/>
      <w:r w:rsidRPr="004C49DB">
        <w:rPr>
          <w:sz w:val="22"/>
          <w:szCs w:val="22"/>
          <w:lang w:val="en-US"/>
        </w:rPr>
        <w:t>immunocomplexes</w:t>
      </w:r>
      <w:proofErr w:type="spellEnd"/>
      <w:r w:rsidRPr="004C49DB">
        <w:rPr>
          <w:sz w:val="22"/>
          <w:szCs w:val="22"/>
          <w:lang w:val="en-US"/>
        </w:rPr>
        <w:t xml:space="preserve"> were precipitated from solution using the same beads, washed </w:t>
      </w:r>
      <w:r w:rsidRPr="004C49DB">
        <w:rPr>
          <w:sz w:val="22"/>
          <w:szCs w:val="22"/>
          <w:lang w:val="en-US"/>
        </w:rPr>
        <w:lastRenderedPageBreak/>
        <w:t xml:space="preserve">three times with </w:t>
      </w:r>
      <w:proofErr w:type="spellStart"/>
      <w:r w:rsidRPr="004C49DB">
        <w:rPr>
          <w:sz w:val="22"/>
          <w:szCs w:val="22"/>
          <w:lang w:val="en-US"/>
        </w:rPr>
        <w:t>lysis</w:t>
      </w:r>
      <w:proofErr w:type="spellEnd"/>
      <w:r w:rsidRPr="004C49DB">
        <w:rPr>
          <w:sz w:val="22"/>
          <w:szCs w:val="22"/>
          <w:lang w:val="en-US"/>
        </w:rPr>
        <w:t xml:space="preserve"> buffer, and eluted by boiling in SDS-PAGE sample buffer, and then subjected to </w:t>
      </w:r>
      <w:proofErr w:type="spellStart"/>
      <w:r w:rsidRPr="004C49DB">
        <w:rPr>
          <w:sz w:val="22"/>
          <w:szCs w:val="22"/>
          <w:lang w:val="en-US"/>
        </w:rPr>
        <w:t>immunoblot</w:t>
      </w:r>
      <w:proofErr w:type="spellEnd"/>
      <w:r w:rsidRPr="004C49DB">
        <w:rPr>
          <w:sz w:val="22"/>
          <w:szCs w:val="22"/>
          <w:lang w:val="en-US"/>
        </w:rPr>
        <w:t xml:space="preserve"> analysis with the indicated antibodies. </w:t>
      </w:r>
    </w:p>
    <w:p w:rsidR="00E063A5" w:rsidRDefault="006D47A2" w:rsidP="00E063A5">
      <w:pPr>
        <w:autoSpaceDE w:val="0"/>
        <w:autoSpaceDN w:val="0"/>
        <w:adjustRightInd w:val="0"/>
        <w:spacing w:line="480" w:lineRule="auto"/>
        <w:jc w:val="both"/>
        <w:rPr>
          <w:rFonts w:eastAsia="MS Mincho"/>
          <w:sz w:val="22"/>
          <w:szCs w:val="22"/>
          <w:lang w:val="en-US" w:eastAsia="ja-JP"/>
        </w:rPr>
      </w:pPr>
      <w:r w:rsidRPr="008E7894">
        <w:rPr>
          <w:sz w:val="22"/>
          <w:szCs w:val="22"/>
          <w:lang w:val="en-US"/>
        </w:rPr>
        <w:t>Formalin-fixed paraffin-embedded tissue blocks from lung primary tumors and HNSCCs were used for tissue microarrays, following a previously described protocol (</w:t>
      </w:r>
      <w:r w:rsidR="00A30A6F">
        <w:rPr>
          <w:sz w:val="22"/>
          <w:szCs w:val="22"/>
          <w:lang w:val="en-US"/>
        </w:rPr>
        <w:t>4</w:t>
      </w:r>
      <w:r w:rsidRPr="008E7894">
        <w:rPr>
          <w:sz w:val="22"/>
          <w:szCs w:val="22"/>
          <w:lang w:val="en-US"/>
        </w:rPr>
        <w:t xml:space="preserve">). </w:t>
      </w:r>
      <w:r w:rsidR="00E063A5" w:rsidRPr="004C49DB">
        <w:rPr>
          <w:rFonts w:eastAsia="MS Mincho"/>
          <w:sz w:val="22"/>
          <w:szCs w:val="22"/>
          <w:lang w:val="en-US" w:eastAsia="ja-JP"/>
        </w:rPr>
        <w:t xml:space="preserve">We performed </w:t>
      </w:r>
      <w:proofErr w:type="spellStart"/>
      <w:r w:rsidR="00E063A5" w:rsidRPr="004C49DB">
        <w:rPr>
          <w:rFonts w:eastAsia="MS Mincho"/>
          <w:sz w:val="22"/>
          <w:szCs w:val="22"/>
          <w:lang w:val="en-US" w:eastAsia="ja-JP"/>
        </w:rPr>
        <w:t>immunohistochemical</w:t>
      </w:r>
      <w:proofErr w:type="spellEnd"/>
      <w:r w:rsidR="00E063A5" w:rsidRPr="004C49DB">
        <w:rPr>
          <w:rFonts w:eastAsia="MS Mincho"/>
          <w:sz w:val="22"/>
          <w:szCs w:val="22"/>
          <w:lang w:val="en-US" w:eastAsia="ja-JP"/>
        </w:rPr>
        <w:t xml:space="preserve"> staining with PAR3 antibody (1:1000 dilution)</w:t>
      </w:r>
      <w:r w:rsidR="00474029">
        <w:rPr>
          <w:rFonts w:eastAsia="MS Mincho"/>
          <w:sz w:val="22"/>
          <w:szCs w:val="22"/>
          <w:lang w:val="en-US" w:eastAsia="ja-JP"/>
        </w:rPr>
        <w:t xml:space="preserve"> and </w:t>
      </w:r>
      <w:r w:rsidR="008D4776">
        <w:rPr>
          <w:rFonts w:eastAsia="MS Mincho"/>
          <w:sz w:val="22"/>
          <w:szCs w:val="22"/>
          <w:lang w:val="en-US" w:eastAsia="ja-JP"/>
        </w:rPr>
        <w:t>pY-</w:t>
      </w:r>
      <w:r w:rsidR="00474029">
        <w:rPr>
          <w:rFonts w:eastAsia="MS Mincho"/>
          <w:sz w:val="22"/>
          <w:szCs w:val="22"/>
          <w:lang w:val="en-US" w:eastAsia="ja-JP"/>
        </w:rPr>
        <w:t xml:space="preserve">STAT3 antibody </w:t>
      </w:r>
      <w:r w:rsidR="00474029" w:rsidRPr="002743EC">
        <w:rPr>
          <w:rFonts w:eastAsia="MS Mincho"/>
          <w:sz w:val="22"/>
          <w:szCs w:val="22"/>
          <w:lang w:val="en-US" w:eastAsia="ja-JP"/>
        </w:rPr>
        <w:t>(1:150 dilution)</w:t>
      </w:r>
      <w:r w:rsidR="00E063A5" w:rsidRPr="002743EC">
        <w:rPr>
          <w:rFonts w:eastAsia="MS Mincho"/>
          <w:sz w:val="22"/>
          <w:szCs w:val="22"/>
          <w:lang w:val="en-US" w:eastAsia="ja-JP"/>
        </w:rPr>
        <w:t>.</w:t>
      </w:r>
      <w:r w:rsidR="00E063A5" w:rsidRPr="004C49DB">
        <w:rPr>
          <w:rFonts w:eastAsia="MS Mincho"/>
          <w:sz w:val="22"/>
          <w:szCs w:val="22"/>
          <w:lang w:val="en-US" w:eastAsia="ja-JP"/>
        </w:rPr>
        <w:t xml:space="preserve"> Three-micrometer-thick sections from the tumors distributed in tissue microarrays were transferred to </w:t>
      </w:r>
      <w:proofErr w:type="spellStart"/>
      <w:r w:rsidR="00E063A5" w:rsidRPr="004C49DB">
        <w:rPr>
          <w:rFonts w:eastAsia="MS Mincho"/>
          <w:sz w:val="22"/>
          <w:szCs w:val="22"/>
          <w:lang w:val="en-US" w:eastAsia="ja-JP"/>
        </w:rPr>
        <w:t>silanized</w:t>
      </w:r>
      <w:proofErr w:type="spellEnd"/>
      <w:r w:rsidR="00E063A5" w:rsidRPr="004C49DB">
        <w:rPr>
          <w:rFonts w:eastAsia="MS Mincho"/>
          <w:sz w:val="22"/>
          <w:szCs w:val="22"/>
          <w:lang w:val="en-US" w:eastAsia="ja-JP"/>
        </w:rPr>
        <w:t xml:space="preserve"> glass slides. After </w:t>
      </w:r>
      <w:proofErr w:type="spellStart"/>
      <w:r w:rsidR="00E063A5" w:rsidRPr="004C49DB">
        <w:rPr>
          <w:rFonts w:eastAsia="MS Mincho"/>
          <w:sz w:val="22"/>
          <w:szCs w:val="22"/>
          <w:lang w:val="en-US" w:eastAsia="ja-JP"/>
        </w:rPr>
        <w:t>deparaffinization</w:t>
      </w:r>
      <w:proofErr w:type="spellEnd"/>
      <w:r w:rsidR="00E063A5" w:rsidRPr="004C49DB">
        <w:rPr>
          <w:rFonts w:eastAsia="MS Mincho"/>
          <w:sz w:val="22"/>
          <w:szCs w:val="22"/>
          <w:lang w:val="en-US" w:eastAsia="ja-JP"/>
        </w:rPr>
        <w:t xml:space="preserve"> and quenching </w:t>
      </w:r>
      <w:r w:rsidR="002743EC">
        <w:rPr>
          <w:rFonts w:eastAsia="MS Mincho"/>
          <w:sz w:val="22"/>
          <w:szCs w:val="22"/>
          <w:lang w:val="en-US" w:eastAsia="ja-JP"/>
        </w:rPr>
        <w:t>the</w:t>
      </w:r>
      <w:r w:rsidR="00E063A5" w:rsidRPr="004C49DB">
        <w:rPr>
          <w:rFonts w:eastAsia="MS Mincho"/>
          <w:sz w:val="22"/>
          <w:szCs w:val="22"/>
          <w:lang w:val="en-US" w:eastAsia="ja-JP"/>
        </w:rPr>
        <w:t xml:space="preserve"> endogenous </w:t>
      </w:r>
      <w:proofErr w:type="spellStart"/>
      <w:r w:rsidR="00E063A5" w:rsidRPr="004C49DB">
        <w:rPr>
          <w:rFonts w:eastAsia="MS Mincho"/>
          <w:sz w:val="22"/>
          <w:szCs w:val="22"/>
          <w:lang w:val="en-US" w:eastAsia="ja-JP"/>
        </w:rPr>
        <w:t>peroxidase</w:t>
      </w:r>
      <w:proofErr w:type="spellEnd"/>
      <w:r w:rsidR="00E063A5" w:rsidRPr="004C49DB">
        <w:rPr>
          <w:rFonts w:eastAsia="MS Mincho"/>
          <w:sz w:val="22"/>
          <w:szCs w:val="22"/>
          <w:lang w:val="en-US" w:eastAsia="ja-JP"/>
        </w:rPr>
        <w:t xml:space="preserve">, the slides were boiled in citrate buffer for 30 min. After antibody incubation, </w:t>
      </w:r>
      <w:proofErr w:type="spellStart"/>
      <w:r w:rsidR="00E063A5" w:rsidRPr="004C49DB">
        <w:rPr>
          <w:rFonts w:eastAsia="MS Mincho"/>
          <w:sz w:val="22"/>
          <w:szCs w:val="22"/>
          <w:lang w:val="en-US" w:eastAsia="ja-JP"/>
        </w:rPr>
        <w:t>immunodetection</w:t>
      </w:r>
      <w:proofErr w:type="spellEnd"/>
      <w:r w:rsidR="00E063A5" w:rsidRPr="004C49DB">
        <w:rPr>
          <w:rFonts w:eastAsia="MS Mincho"/>
          <w:sz w:val="22"/>
          <w:szCs w:val="22"/>
          <w:lang w:val="en-US" w:eastAsia="ja-JP"/>
        </w:rPr>
        <w:t xml:space="preserve"> was performed with the Super </w:t>
      </w:r>
      <w:proofErr w:type="spellStart"/>
      <w:r w:rsidR="00E063A5" w:rsidRPr="004C49DB">
        <w:rPr>
          <w:rFonts w:eastAsia="MS Mincho"/>
          <w:sz w:val="22"/>
          <w:szCs w:val="22"/>
          <w:lang w:val="en-US" w:eastAsia="ja-JP"/>
        </w:rPr>
        <w:t>Sensitive</w:t>
      </w:r>
      <w:r w:rsidR="00E063A5" w:rsidRPr="004C49DB">
        <w:rPr>
          <w:rFonts w:eastAsia="MS Mincho"/>
          <w:sz w:val="22"/>
          <w:szCs w:val="22"/>
          <w:vertAlign w:val="superscript"/>
          <w:lang w:val="en-US" w:eastAsia="ja-JP"/>
        </w:rPr>
        <w:t>TM</w:t>
      </w:r>
      <w:proofErr w:type="spellEnd"/>
      <w:r w:rsidR="00E063A5" w:rsidRPr="004C49DB">
        <w:rPr>
          <w:rFonts w:eastAsia="MS Mincho"/>
          <w:sz w:val="22"/>
          <w:szCs w:val="22"/>
          <w:lang w:val="en-US" w:eastAsia="ja-JP"/>
        </w:rPr>
        <w:t xml:space="preserve"> Link-Label IHC Detection System Label (</w:t>
      </w:r>
      <w:proofErr w:type="spellStart"/>
      <w:r w:rsidR="00E063A5" w:rsidRPr="004C49DB">
        <w:rPr>
          <w:rFonts w:eastAsia="MS Mincho"/>
          <w:sz w:val="22"/>
          <w:szCs w:val="22"/>
          <w:lang w:val="en-US" w:eastAsia="ja-JP"/>
        </w:rPr>
        <w:t>Biogenex</w:t>
      </w:r>
      <w:proofErr w:type="spellEnd"/>
      <w:r w:rsidR="00E063A5" w:rsidRPr="004C49DB">
        <w:rPr>
          <w:rFonts w:eastAsia="MS Mincho"/>
          <w:sz w:val="22"/>
          <w:szCs w:val="22"/>
          <w:lang w:val="en-US" w:eastAsia="ja-JP"/>
        </w:rPr>
        <w:t xml:space="preserve">, The Hague, The Netherlands) and with </w:t>
      </w:r>
      <w:proofErr w:type="spellStart"/>
      <w:r w:rsidR="00E063A5" w:rsidRPr="004C49DB">
        <w:rPr>
          <w:rFonts w:eastAsia="MS Mincho"/>
          <w:sz w:val="22"/>
          <w:szCs w:val="22"/>
          <w:lang w:val="en-US" w:eastAsia="ja-JP"/>
        </w:rPr>
        <w:t>diaminobenzidine</w:t>
      </w:r>
      <w:proofErr w:type="spellEnd"/>
      <w:r w:rsidR="00E063A5" w:rsidRPr="004C49DB">
        <w:rPr>
          <w:rFonts w:eastAsia="MS Mincho"/>
          <w:sz w:val="22"/>
          <w:szCs w:val="22"/>
          <w:lang w:val="en-US" w:eastAsia="ja-JP"/>
        </w:rPr>
        <w:t xml:space="preserve"> </w:t>
      </w:r>
      <w:proofErr w:type="spellStart"/>
      <w:r w:rsidR="00E063A5" w:rsidRPr="004C49DB">
        <w:rPr>
          <w:rFonts w:eastAsia="MS Mincho"/>
          <w:sz w:val="22"/>
          <w:szCs w:val="22"/>
          <w:lang w:val="en-US" w:eastAsia="ja-JP"/>
        </w:rPr>
        <w:t>chromogen</w:t>
      </w:r>
      <w:proofErr w:type="spellEnd"/>
      <w:r w:rsidR="00E063A5" w:rsidRPr="004C49DB">
        <w:rPr>
          <w:rFonts w:eastAsia="MS Mincho"/>
          <w:sz w:val="22"/>
          <w:szCs w:val="22"/>
          <w:lang w:val="en-US" w:eastAsia="ja-JP"/>
        </w:rPr>
        <w:t xml:space="preserve"> as the substrate (</w:t>
      </w:r>
      <w:proofErr w:type="spellStart"/>
      <w:r w:rsidR="00E063A5" w:rsidRPr="004C49DB">
        <w:rPr>
          <w:rFonts w:eastAsia="MS Mincho"/>
          <w:sz w:val="22"/>
          <w:szCs w:val="22"/>
          <w:lang w:val="en-US" w:eastAsia="ja-JP"/>
        </w:rPr>
        <w:t>Invitrogen</w:t>
      </w:r>
      <w:proofErr w:type="spellEnd"/>
      <w:r w:rsidR="00E063A5" w:rsidRPr="004C49DB">
        <w:rPr>
          <w:rFonts w:eastAsia="MS Mincho"/>
          <w:sz w:val="22"/>
          <w:szCs w:val="22"/>
          <w:lang w:val="en-US" w:eastAsia="ja-JP"/>
        </w:rPr>
        <w:t xml:space="preserve">). Sections were counterstained with </w:t>
      </w:r>
      <w:proofErr w:type="spellStart"/>
      <w:r w:rsidR="00E063A5" w:rsidRPr="004C49DB">
        <w:rPr>
          <w:rFonts w:eastAsia="MS Mincho"/>
          <w:sz w:val="22"/>
          <w:szCs w:val="22"/>
          <w:lang w:val="en-US" w:eastAsia="ja-JP"/>
        </w:rPr>
        <w:t>hematoxylin</w:t>
      </w:r>
      <w:proofErr w:type="spellEnd"/>
      <w:r w:rsidR="00E063A5" w:rsidRPr="004C49DB">
        <w:rPr>
          <w:rFonts w:eastAsia="MS Mincho"/>
          <w:sz w:val="22"/>
          <w:szCs w:val="22"/>
          <w:lang w:val="en-US" w:eastAsia="ja-JP"/>
        </w:rPr>
        <w:t xml:space="preserve"> and evaluated under a </w:t>
      </w:r>
      <w:proofErr w:type="spellStart"/>
      <w:r w:rsidR="00E063A5" w:rsidRPr="004C49DB">
        <w:rPr>
          <w:rFonts w:eastAsia="MS Mincho"/>
          <w:sz w:val="22"/>
          <w:szCs w:val="22"/>
          <w:lang w:val="en-US" w:eastAsia="ja-JP"/>
        </w:rPr>
        <w:t>Leica</w:t>
      </w:r>
      <w:proofErr w:type="spellEnd"/>
      <w:r w:rsidR="00E063A5" w:rsidRPr="004C49DB">
        <w:rPr>
          <w:rFonts w:eastAsia="MS Mincho"/>
          <w:sz w:val="22"/>
          <w:szCs w:val="22"/>
          <w:lang w:val="en-US" w:eastAsia="ja-JP"/>
        </w:rPr>
        <w:t xml:space="preserve"> DM1000 microscope. Four investigators, including two pathologists (EC and </w:t>
      </w:r>
      <w:proofErr w:type="spellStart"/>
      <w:r w:rsidR="00E063A5" w:rsidRPr="004C49DB">
        <w:rPr>
          <w:rFonts w:eastAsia="MS Mincho"/>
          <w:sz w:val="22"/>
          <w:szCs w:val="22"/>
          <w:lang w:val="en-US" w:eastAsia="ja-JP"/>
        </w:rPr>
        <w:t>EB</w:t>
      </w:r>
      <w:r w:rsidR="00656079">
        <w:rPr>
          <w:rFonts w:eastAsia="MS Mincho"/>
          <w:sz w:val="22"/>
          <w:szCs w:val="22"/>
          <w:lang w:val="en-US" w:eastAsia="ja-JP"/>
        </w:rPr>
        <w:t>r</w:t>
      </w:r>
      <w:proofErr w:type="spellEnd"/>
      <w:r w:rsidR="00E063A5" w:rsidRPr="004C49DB">
        <w:rPr>
          <w:rFonts w:eastAsia="MS Mincho"/>
          <w:sz w:val="22"/>
          <w:szCs w:val="22"/>
          <w:lang w:val="en-US" w:eastAsia="ja-JP"/>
        </w:rPr>
        <w:t xml:space="preserve">), evaluated the sections using uniform criteria. PAR3 </w:t>
      </w:r>
      <w:proofErr w:type="spellStart"/>
      <w:r w:rsidR="00E063A5" w:rsidRPr="004C49DB">
        <w:rPr>
          <w:rFonts w:eastAsia="MS Mincho"/>
          <w:sz w:val="22"/>
          <w:szCs w:val="22"/>
          <w:lang w:val="en-US" w:eastAsia="ja-JP"/>
        </w:rPr>
        <w:t>immunostaining</w:t>
      </w:r>
      <w:proofErr w:type="spellEnd"/>
      <w:r w:rsidR="00E063A5" w:rsidRPr="004C49DB">
        <w:rPr>
          <w:rFonts w:eastAsia="MS Mincho"/>
          <w:sz w:val="22"/>
          <w:szCs w:val="22"/>
          <w:lang w:val="en-US" w:eastAsia="ja-JP"/>
        </w:rPr>
        <w:t xml:space="preserve"> was scored as follows: no staining, (-); low-intensity staining, (+); moderate</w:t>
      </w:r>
      <w:r w:rsidR="004951C7" w:rsidRPr="004C49DB">
        <w:rPr>
          <w:rFonts w:eastAsia="MS Mincho"/>
          <w:sz w:val="22"/>
          <w:szCs w:val="22"/>
          <w:lang w:val="en-US" w:eastAsia="ja-JP"/>
        </w:rPr>
        <w:t>-intensity</w:t>
      </w:r>
      <w:r w:rsidR="00E063A5" w:rsidRPr="004C49DB">
        <w:rPr>
          <w:rFonts w:eastAsia="MS Mincho"/>
          <w:sz w:val="22"/>
          <w:szCs w:val="22"/>
          <w:lang w:val="en-US" w:eastAsia="ja-JP"/>
        </w:rPr>
        <w:t xml:space="preserve"> staining, (++); and strong-intensity staining (+++). In the case of HNCCs, all the slides were stained simultaneously in an automated horizontal slide-processing system (</w:t>
      </w:r>
      <w:proofErr w:type="spellStart"/>
      <w:r w:rsidR="00E063A5" w:rsidRPr="004C49DB">
        <w:rPr>
          <w:rFonts w:eastAsia="MS Mincho"/>
          <w:sz w:val="22"/>
          <w:szCs w:val="22"/>
          <w:lang w:val="en-US" w:eastAsia="ja-JP"/>
        </w:rPr>
        <w:t>Dako</w:t>
      </w:r>
      <w:proofErr w:type="spellEnd"/>
      <w:r w:rsidR="00E063A5" w:rsidRPr="004C49DB">
        <w:rPr>
          <w:rFonts w:eastAsia="MS Mincho"/>
          <w:sz w:val="22"/>
          <w:szCs w:val="22"/>
          <w:lang w:val="en-US" w:eastAsia="ja-JP"/>
        </w:rPr>
        <w:t xml:space="preserve"> </w:t>
      </w:r>
      <w:proofErr w:type="spellStart"/>
      <w:r w:rsidR="00E063A5" w:rsidRPr="004C49DB">
        <w:rPr>
          <w:rFonts w:eastAsia="MS Mincho"/>
          <w:sz w:val="22"/>
          <w:szCs w:val="22"/>
          <w:lang w:val="en-US" w:eastAsia="ja-JP"/>
        </w:rPr>
        <w:t>Autostainer</w:t>
      </w:r>
      <w:proofErr w:type="spellEnd"/>
      <w:r w:rsidR="00E063A5" w:rsidRPr="004C49DB">
        <w:rPr>
          <w:rFonts w:eastAsia="MS Mincho"/>
          <w:sz w:val="22"/>
          <w:szCs w:val="22"/>
          <w:lang w:val="en-US" w:eastAsia="ja-JP"/>
        </w:rPr>
        <w:t xml:space="preserve"> Plus). Negative controls with either omitting the primary antibody or with a normal mouse </w:t>
      </w:r>
      <w:proofErr w:type="spellStart"/>
      <w:r w:rsidR="00E063A5" w:rsidRPr="004C49DB">
        <w:rPr>
          <w:rFonts w:eastAsia="MS Mincho"/>
          <w:sz w:val="22"/>
          <w:szCs w:val="22"/>
          <w:lang w:val="en-US" w:eastAsia="ja-JP"/>
        </w:rPr>
        <w:t>IgG</w:t>
      </w:r>
      <w:proofErr w:type="spellEnd"/>
      <w:r w:rsidR="00E063A5" w:rsidRPr="004C49DB">
        <w:rPr>
          <w:rFonts w:eastAsia="MS Mincho"/>
          <w:sz w:val="22"/>
          <w:szCs w:val="22"/>
          <w:lang w:val="en-US" w:eastAsia="ja-JP"/>
        </w:rPr>
        <w:t xml:space="preserve"> (Santa Cruz Biotechnology, Inc.) in the </w:t>
      </w:r>
      <w:r w:rsidR="00E063A5" w:rsidRPr="00E86E9B">
        <w:rPr>
          <w:rFonts w:eastAsia="MS Mincho"/>
          <w:sz w:val="22"/>
          <w:szCs w:val="22"/>
          <w:lang w:val="en-US" w:eastAsia="ja-JP"/>
        </w:rPr>
        <w:t xml:space="preserve">primary incubation were also included. </w:t>
      </w:r>
      <w:r w:rsidR="00995B71" w:rsidRPr="00E86E9B">
        <w:rPr>
          <w:rFonts w:eastAsia="MS Mincho"/>
          <w:sz w:val="22"/>
          <w:szCs w:val="22"/>
          <w:lang w:val="en-US" w:eastAsia="ja-JP"/>
        </w:rPr>
        <w:t>p</w:t>
      </w:r>
      <w:r w:rsidR="00383C99" w:rsidRPr="00E86E9B">
        <w:rPr>
          <w:rFonts w:eastAsia="MS Mincho"/>
          <w:sz w:val="22"/>
          <w:szCs w:val="22"/>
          <w:lang w:val="en-US" w:eastAsia="ja-JP"/>
        </w:rPr>
        <w:t>Y-</w:t>
      </w:r>
      <w:r w:rsidR="00995B71" w:rsidRPr="00E86E9B">
        <w:rPr>
          <w:rFonts w:eastAsia="MS Mincho"/>
          <w:sz w:val="22"/>
          <w:szCs w:val="22"/>
          <w:lang w:val="en-US" w:eastAsia="ja-JP"/>
        </w:rPr>
        <w:t xml:space="preserve">STAT3 </w:t>
      </w:r>
      <w:proofErr w:type="spellStart"/>
      <w:r w:rsidR="00995B71" w:rsidRPr="00E86E9B">
        <w:rPr>
          <w:rFonts w:eastAsia="MS Mincho"/>
          <w:sz w:val="22"/>
          <w:szCs w:val="22"/>
          <w:lang w:val="en-US" w:eastAsia="ja-JP"/>
        </w:rPr>
        <w:t>immunostaining</w:t>
      </w:r>
      <w:proofErr w:type="spellEnd"/>
      <w:r w:rsidR="00995B71" w:rsidRPr="00E86E9B">
        <w:rPr>
          <w:rFonts w:eastAsia="MS Mincho"/>
          <w:sz w:val="22"/>
          <w:szCs w:val="22"/>
          <w:lang w:val="en-US" w:eastAsia="ja-JP"/>
        </w:rPr>
        <w:t xml:space="preserve"> was scored as follows: no</w:t>
      </w:r>
      <w:r w:rsidR="00383C99" w:rsidRPr="00E86E9B">
        <w:rPr>
          <w:rFonts w:eastAsia="MS Mincho"/>
          <w:sz w:val="22"/>
          <w:szCs w:val="22"/>
          <w:lang w:val="en-US" w:eastAsia="ja-JP"/>
        </w:rPr>
        <w:t xml:space="preserve"> staining</w:t>
      </w:r>
      <w:r w:rsidR="00A52927" w:rsidRPr="00E86E9B">
        <w:rPr>
          <w:rFonts w:eastAsia="MS Mincho"/>
          <w:sz w:val="22"/>
          <w:szCs w:val="22"/>
          <w:lang w:val="en-US" w:eastAsia="ja-JP"/>
        </w:rPr>
        <w:t xml:space="preserve"> or less than 10% of cells with low-intensity staining, (-</w:t>
      </w:r>
      <w:r w:rsidR="00383C99" w:rsidRPr="00E86E9B">
        <w:rPr>
          <w:rFonts w:eastAsia="MS Mincho"/>
          <w:sz w:val="22"/>
          <w:szCs w:val="22"/>
          <w:lang w:val="en-US" w:eastAsia="ja-JP"/>
        </w:rPr>
        <w:t xml:space="preserve">); low-intensity staining or less than 10% </w:t>
      </w:r>
      <w:r w:rsidR="00A52927" w:rsidRPr="00E86E9B">
        <w:rPr>
          <w:rFonts w:eastAsia="MS Mincho"/>
          <w:sz w:val="22"/>
          <w:szCs w:val="22"/>
          <w:lang w:val="en-US" w:eastAsia="ja-JP"/>
        </w:rPr>
        <w:t>of cells with strong-intensity</w:t>
      </w:r>
      <w:r w:rsidR="00383C99" w:rsidRPr="00E86E9B">
        <w:rPr>
          <w:rFonts w:eastAsia="MS Mincho"/>
          <w:sz w:val="22"/>
          <w:szCs w:val="22"/>
          <w:lang w:val="en-US" w:eastAsia="ja-JP"/>
        </w:rPr>
        <w:t xml:space="preserve"> stain</w:t>
      </w:r>
      <w:r w:rsidR="00A52927" w:rsidRPr="00E86E9B">
        <w:rPr>
          <w:rFonts w:eastAsia="MS Mincho"/>
          <w:sz w:val="22"/>
          <w:szCs w:val="22"/>
          <w:lang w:val="en-US" w:eastAsia="ja-JP"/>
        </w:rPr>
        <w:t>ing</w:t>
      </w:r>
      <w:r w:rsidR="00383C99" w:rsidRPr="00E86E9B">
        <w:rPr>
          <w:rFonts w:eastAsia="MS Mincho"/>
          <w:sz w:val="22"/>
          <w:szCs w:val="22"/>
          <w:lang w:val="en-US" w:eastAsia="ja-JP"/>
        </w:rPr>
        <w:t xml:space="preserve"> (+); strong-intensity staining (++).</w:t>
      </w:r>
    </w:p>
    <w:p w:rsidR="00995B71" w:rsidRPr="004C49DB" w:rsidRDefault="00995B71" w:rsidP="00E063A5">
      <w:pPr>
        <w:autoSpaceDE w:val="0"/>
        <w:autoSpaceDN w:val="0"/>
        <w:adjustRightInd w:val="0"/>
        <w:spacing w:line="480" w:lineRule="auto"/>
        <w:jc w:val="both"/>
        <w:rPr>
          <w:rFonts w:eastAsia="MS Mincho"/>
          <w:sz w:val="22"/>
          <w:szCs w:val="22"/>
          <w:highlight w:val="green"/>
          <w:lang w:val="en-US" w:eastAsia="ja-JP"/>
        </w:rPr>
      </w:pPr>
    </w:p>
    <w:p w:rsidR="00E063A5" w:rsidRPr="002E6F22" w:rsidRDefault="00E063A5" w:rsidP="00E063A5">
      <w:pPr>
        <w:spacing w:line="480" w:lineRule="auto"/>
        <w:jc w:val="both"/>
        <w:rPr>
          <w:b/>
          <w:sz w:val="22"/>
          <w:szCs w:val="22"/>
          <w:lang w:val="en-US"/>
        </w:rPr>
      </w:pPr>
      <w:r w:rsidRPr="002E6F22">
        <w:rPr>
          <w:b/>
          <w:sz w:val="22"/>
          <w:szCs w:val="22"/>
          <w:lang w:val="en-US"/>
        </w:rPr>
        <w:t xml:space="preserve">Microarray global gene expression analysis and </w:t>
      </w:r>
      <w:r w:rsidR="00DB3B4F">
        <w:rPr>
          <w:b/>
          <w:sz w:val="22"/>
          <w:szCs w:val="22"/>
          <w:lang w:val="en-US"/>
        </w:rPr>
        <w:t>quantitative RT-</w:t>
      </w:r>
      <w:r w:rsidRPr="002E6F22">
        <w:rPr>
          <w:b/>
          <w:sz w:val="22"/>
          <w:szCs w:val="22"/>
          <w:lang w:val="en-US"/>
        </w:rPr>
        <w:t>PCRs</w:t>
      </w:r>
    </w:p>
    <w:p w:rsidR="003C3BB2" w:rsidRDefault="00E063A5" w:rsidP="00E063A5">
      <w:pPr>
        <w:spacing w:line="480" w:lineRule="auto"/>
        <w:jc w:val="both"/>
        <w:rPr>
          <w:bCs/>
          <w:sz w:val="22"/>
          <w:szCs w:val="22"/>
          <w:lang w:val="en-US"/>
        </w:rPr>
      </w:pPr>
      <w:r w:rsidRPr="004C49DB">
        <w:rPr>
          <w:sz w:val="22"/>
          <w:szCs w:val="22"/>
          <w:lang w:val="en-US"/>
        </w:rPr>
        <w:t>For scanning we used a G2505B DNA microarray scanner. Images were quantified using Agilent Feature Extraction Software (version 9.5). Fluorescence intensity of each array element was subtracted from the local background. Data were normalized as previously described (</w:t>
      </w:r>
      <w:r w:rsidR="00A30A6F">
        <w:rPr>
          <w:sz w:val="22"/>
          <w:szCs w:val="22"/>
          <w:lang w:val="en-US"/>
        </w:rPr>
        <w:t>5</w:t>
      </w:r>
      <w:r w:rsidRPr="004C49DB">
        <w:rPr>
          <w:sz w:val="22"/>
          <w:szCs w:val="22"/>
          <w:lang w:val="en-US"/>
        </w:rPr>
        <w:t xml:space="preserve">). To determine the mRNA levels we used real-time RT-quantitative PCRs. </w:t>
      </w:r>
      <w:proofErr w:type="spellStart"/>
      <w:r w:rsidRPr="004C49DB">
        <w:rPr>
          <w:sz w:val="22"/>
          <w:szCs w:val="22"/>
          <w:lang w:val="en-US"/>
        </w:rPr>
        <w:t>DNase</w:t>
      </w:r>
      <w:proofErr w:type="spellEnd"/>
      <w:r w:rsidRPr="004C49DB">
        <w:rPr>
          <w:sz w:val="22"/>
          <w:szCs w:val="22"/>
          <w:lang w:val="en-US"/>
        </w:rPr>
        <w:t xml:space="preserve">-treated RNA was reverse-transcribed. </w:t>
      </w:r>
      <w:proofErr w:type="spellStart"/>
      <w:r w:rsidRPr="004C49DB">
        <w:rPr>
          <w:sz w:val="22"/>
          <w:szCs w:val="22"/>
          <w:lang w:val="en-US"/>
        </w:rPr>
        <w:t>cDNA</w:t>
      </w:r>
      <w:proofErr w:type="spellEnd"/>
      <w:r w:rsidRPr="004C49DB">
        <w:rPr>
          <w:sz w:val="22"/>
          <w:szCs w:val="22"/>
          <w:lang w:val="en-US"/>
        </w:rPr>
        <w:t xml:space="preserve"> was amplified using an ABI Prism 7900 Sequence detector </w:t>
      </w:r>
      <w:r w:rsidRPr="004C49DB">
        <w:rPr>
          <w:sz w:val="22"/>
          <w:szCs w:val="22"/>
          <w:lang w:val="en-US"/>
        </w:rPr>
        <w:lastRenderedPageBreak/>
        <w:t xml:space="preserve">(Applied </w:t>
      </w:r>
      <w:proofErr w:type="spellStart"/>
      <w:r w:rsidRPr="004C49DB">
        <w:rPr>
          <w:sz w:val="22"/>
          <w:szCs w:val="22"/>
          <w:lang w:val="en-US"/>
        </w:rPr>
        <w:t>Biosystems</w:t>
      </w:r>
      <w:proofErr w:type="spellEnd"/>
      <w:r w:rsidRPr="004C49DB">
        <w:rPr>
          <w:sz w:val="22"/>
          <w:szCs w:val="22"/>
          <w:lang w:val="en-US"/>
        </w:rPr>
        <w:t>), and levels of genes were measured by SYBR green real-time PCR. Reactions were carried out in triplicate. As controls we used human ACTB and PP1A to correct for inter-individual/tumor variation.</w:t>
      </w:r>
      <w:r w:rsidR="003C3BB2" w:rsidRPr="004C49DB">
        <w:rPr>
          <w:bCs/>
          <w:sz w:val="22"/>
          <w:szCs w:val="22"/>
          <w:lang w:val="en-US"/>
        </w:rPr>
        <w:t xml:space="preserve"> </w:t>
      </w:r>
    </w:p>
    <w:p w:rsidR="00E063A5" w:rsidRPr="004C49DB" w:rsidRDefault="003C3BB2" w:rsidP="00E063A5">
      <w:pPr>
        <w:spacing w:line="480" w:lineRule="auto"/>
        <w:jc w:val="both"/>
        <w:rPr>
          <w:sz w:val="22"/>
          <w:szCs w:val="22"/>
          <w:lang w:val="en-US"/>
        </w:rPr>
      </w:pPr>
      <w:r w:rsidRPr="004C49DB">
        <w:rPr>
          <w:sz w:val="22"/>
          <w:szCs w:val="22"/>
          <w:lang w:val="en-US"/>
        </w:rPr>
        <w:t xml:space="preserve">We selected transcripts that fulfilled the following criteria: i) at least 1.5-fold induction or repression in the wild type compared with </w:t>
      </w:r>
      <w:r>
        <w:rPr>
          <w:sz w:val="22"/>
          <w:szCs w:val="22"/>
          <w:lang w:val="en-US"/>
        </w:rPr>
        <w:t>mock cells; ii) adjusted p&lt;0.05</w:t>
      </w:r>
      <w:r w:rsidRPr="004C49DB">
        <w:rPr>
          <w:sz w:val="22"/>
          <w:szCs w:val="22"/>
          <w:lang w:val="en-US"/>
        </w:rPr>
        <w:t xml:space="preserve">. </w:t>
      </w:r>
      <w:r w:rsidRPr="004C49DB">
        <w:rPr>
          <w:bCs/>
          <w:sz w:val="22"/>
          <w:szCs w:val="22"/>
          <w:lang w:val="en-US"/>
        </w:rPr>
        <w:t xml:space="preserve">The differentially expressed genes were functionally classified according to the gene ontology (GO) database and exhaustive searches of </w:t>
      </w:r>
      <w:proofErr w:type="spellStart"/>
      <w:r w:rsidRPr="004C49DB">
        <w:rPr>
          <w:bCs/>
          <w:sz w:val="22"/>
          <w:szCs w:val="22"/>
          <w:lang w:val="en-US"/>
        </w:rPr>
        <w:t>PubMed</w:t>
      </w:r>
      <w:proofErr w:type="spellEnd"/>
      <w:r w:rsidRPr="004C49DB">
        <w:rPr>
          <w:bCs/>
          <w:sz w:val="22"/>
          <w:szCs w:val="22"/>
          <w:lang w:val="en-US"/>
        </w:rPr>
        <w:t xml:space="preserve">. Gene Set Enrichment Analysis (GSEA) was </w:t>
      </w:r>
      <w:r w:rsidRPr="004C49DB">
        <w:rPr>
          <w:sz w:val="22"/>
          <w:szCs w:val="22"/>
          <w:lang w:val="en-US"/>
        </w:rPr>
        <w:t>appli</w:t>
      </w:r>
      <w:r>
        <w:rPr>
          <w:sz w:val="22"/>
          <w:szCs w:val="22"/>
          <w:lang w:val="en-US"/>
        </w:rPr>
        <w:t>ed</w:t>
      </w:r>
      <w:r w:rsidRPr="004C49DB">
        <w:rPr>
          <w:sz w:val="22"/>
          <w:szCs w:val="22"/>
          <w:lang w:val="en-US"/>
        </w:rPr>
        <w:t xml:space="preserve"> to the ranked list using the </w:t>
      </w:r>
      <w:r w:rsidRPr="004C49DB">
        <w:rPr>
          <w:i/>
          <w:sz w:val="22"/>
          <w:szCs w:val="22"/>
          <w:lang w:val="en-US"/>
        </w:rPr>
        <w:t>PARD3</w:t>
      </w:r>
      <w:r w:rsidRPr="004C49DB">
        <w:rPr>
          <w:sz w:val="22"/>
          <w:szCs w:val="22"/>
          <w:lang w:val="en-US"/>
        </w:rPr>
        <w:t xml:space="preserve"> gene expression signature as a gene set.</w:t>
      </w:r>
    </w:p>
    <w:p w:rsidR="00E063A5" w:rsidRDefault="00E063A5" w:rsidP="00E063A5">
      <w:pPr>
        <w:spacing w:line="480" w:lineRule="auto"/>
        <w:jc w:val="both"/>
        <w:rPr>
          <w:b/>
          <w:sz w:val="22"/>
          <w:szCs w:val="22"/>
          <w:lang w:val="en-US"/>
        </w:rPr>
      </w:pPr>
    </w:p>
    <w:p w:rsidR="00E063A5" w:rsidRPr="004C49DB" w:rsidRDefault="00E063A5" w:rsidP="00E063A5">
      <w:pPr>
        <w:spacing w:line="480" w:lineRule="auto"/>
        <w:jc w:val="both"/>
        <w:rPr>
          <w:b/>
          <w:sz w:val="22"/>
          <w:szCs w:val="22"/>
          <w:lang w:val="en-US"/>
        </w:rPr>
      </w:pPr>
      <w:r w:rsidRPr="004C49DB">
        <w:rPr>
          <w:b/>
          <w:i/>
          <w:sz w:val="22"/>
          <w:szCs w:val="22"/>
          <w:lang w:val="en-US"/>
        </w:rPr>
        <w:t>In vivo</w:t>
      </w:r>
      <w:r w:rsidRPr="004C49DB">
        <w:rPr>
          <w:b/>
          <w:sz w:val="22"/>
          <w:szCs w:val="22"/>
          <w:lang w:val="en-US"/>
        </w:rPr>
        <w:t xml:space="preserve"> experiments</w:t>
      </w:r>
    </w:p>
    <w:p w:rsidR="00E063A5" w:rsidRPr="004C49DB" w:rsidRDefault="00E063A5" w:rsidP="00E063A5">
      <w:pPr>
        <w:spacing w:line="480" w:lineRule="auto"/>
        <w:jc w:val="both"/>
        <w:rPr>
          <w:sz w:val="22"/>
          <w:szCs w:val="22"/>
          <w:lang w:val="en-US"/>
        </w:rPr>
      </w:pPr>
      <w:r w:rsidRPr="004C49DB">
        <w:rPr>
          <w:sz w:val="22"/>
          <w:szCs w:val="22"/>
          <w:lang w:val="en-US"/>
        </w:rPr>
        <w:t>For the</w:t>
      </w:r>
      <w:r w:rsidRPr="004C49DB">
        <w:rPr>
          <w:i/>
          <w:sz w:val="22"/>
          <w:szCs w:val="22"/>
          <w:lang w:val="en-US"/>
        </w:rPr>
        <w:t xml:space="preserve"> in vivo</w:t>
      </w:r>
      <w:r w:rsidRPr="004C49DB">
        <w:rPr>
          <w:sz w:val="22"/>
          <w:szCs w:val="22"/>
          <w:lang w:val="en-US"/>
        </w:rPr>
        <w:t xml:space="preserve"> experiments we used </w:t>
      </w:r>
      <w:proofErr w:type="spellStart"/>
      <w:r w:rsidRPr="004C49DB">
        <w:rPr>
          <w:sz w:val="22"/>
          <w:szCs w:val="22"/>
          <w:lang w:val="en-US"/>
        </w:rPr>
        <w:t>athymic</w:t>
      </w:r>
      <w:proofErr w:type="spellEnd"/>
      <w:r w:rsidRPr="004C49DB">
        <w:rPr>
          <w:sz w:val="22"/>
          <w:szCs w:val="22"/>
          <w:lang w:val="en-US"/>
        </w:rPr>
        <w:t xml:space="preserve"> mice male nu/nu, aged 4-5 weeks (Harlan-Laboratories, Inc., Indianapolis, IN), maintained in a sterile environment. The animals were maintained under pathogen-free conditions. The experimental designs were approved by the Institutional Animal Care and Use Committee of the IDIBELL. All the animals drank 2% sucrose plus 2 mg/ml </w:t>
      </w:r>
      <w:proofErr w:type="spellStart"/>
      <w:r w:rsidRPr="004C49DB">
        <w:rPr>
          <w:sz w:val="22"/>
          <w:szCs w:val="22"/>
          <w:lang w:val="en-US"/>
        </w:rPr>
        <w:t>doxycycline</w:t>
      </w:r>
      <w:proofErr w:type="spellEnd"/>
      <w:r w:rsidRPr="004C49DB">
        <w:rPr>
          <w:sz w:val="22"/>
          <w:szCs w:val="22"/>
          <w:lang w:val="en-US"/>
        </w:rPr>
        <w:t xml:space="preserve"> in water </w:t>
      </w:r>
      <w:r w:rsidRPr="004C49DB">
        <w:rPr>
          <w:i/>
          <w:sz w:val="22"/>
          <w:szCs w:val="22"/>
          <w:lang w:val="en-US"/>
        </w:rPr>
        <w:t xml:space="preserve">ad </w:t>
      </w:r>
      <w:proofErr w:type="spellStart"/>
      <w:r w:rsidRPr="004C49DB">
        <w:rPr>
          <w:i/>
          <w:sz w:val="22"/>
          <w:szCs w:val="22"/>
          <w:lang w:val="en-US"/>
        </w:rPr>
        <w:t>libitum</w:t>
      </w:r>
      <w:proofErr w:type="spellEnd"/>
      <w:r w:rsidRPr="004C49DB">
        <w:rPr>
          <w:sz w:val="22"/>
          <w:szCs w:val="22"/>
          <w:lang w:val="en-US"/>
        </w:rPr>
        <w:t xml:space="preserve"> to induce PAR3 ectopic expression. </w:t>
      </w:r>
    </w:p>
    <w:p w:rsidR="00E063A5" w:rsidRPr="004C49DB" w:rsidRDefault="00E063A5" w:rsidP="00E063A5">
      <w:pPr>
        <w:spacing w:line="480" w:lineRule="auto"/>
        <w:jc w:val="both"/>
        <w:rPr>
          <w:sz w:val="22"/>
          <w:szCs w:val="22"/>
          <w:lang w:val="en-US"/>
        </w:rPr>
      </w:pPr>
      <w:r w:rsidRPr="004C49DB">
        <w:rPr>
          <w:sz w:val="22"/>
          <w:szCs w:val="22"/>
          <w:lang w:val="en-US"/>
        </w:rPr>
        <w:t>For the spleen metastasis model, 1x10</w:t>
      </w:r>
      <w:r w:rsidRPr="004C49DB">
        <w:rPr>
          <w:sz w:val="22"/>
          <w:szCs w:val="22"/>
          <w:vertAlign w:val="superscript"/>
          <w:lang w:val="en-US"/>
        </w:rPr>
        <w:t>6</w:t>
      </w:r>
      <w:r w:rsidRPr="004C49DB">
        <w:rPr>
          <w:sz w:val="22"/>
          <w:szCs w:val="22"/>
          <w:lang w:val="en-US"/>
        </w:rPr>
        <w:t xml:space="preserve"> cells were injected into the spleen of 13 mice (6 and 7 mice for the H157tr and H157tr-PAR3wt cells, respectively)</w:t>
      </w:r>
      <w:r>
        <w:rPr>
          <w:sz w:val="22"/>
          <w:szCs w:val="22"/>
          <w:lang w:val="en-US"/>
        </w:rPr>
        <w:t>.</w:t>
      </w:r>
      <w:r w:rsidRPr="004C49DB">
        <w:rPr>
          <w:sz w:val="22"/>
          <w:szCs w:val="22"/>
          <w:lang w:val="en-US"/>
        </w:rPr>
        <w:t xml:space="preserve"> Briefly, cells were </w:t>
      </w:r>
      <w:proofErr w:type="spellStart"/>
      <w:r w:rsidRPr="004C49DB">
        <w:rPr>
          <w:sz w:val="22"/>
          <w:szCs w:val="22"/>
          <w:lang w:val="en-US"/>
        </w:rPr>
        <w:t>intrasplenically</w:t>
      </w:r>
      <w:proofErr w:type="spellEnd"/>
      <w:r w:rsidRPr="004C49DB">
        <w:rPr>
          <w:sz w:val="22"/>
          <w:szCs w:val="22"/>
          <w:lang w:val="en-US"/>
        </w:rPr>
        <w:t xml:space="preserve"> injected with a tuberculin syringe into the middle of the mouse’s spleen. To minimize local tumor growth, mice were anesthetized and the spleen surgically </w:t>
      </w:r>
      <w:proofErr w:type="spellStart"/>
      <w:r w:rsidRPr="004C49DB">
        <w:rPr>
          <w:sz w:val="22"/>
          <w:szCs w:val="22"/>
          <w:lang w:val="en-US"/>
        </w:rPr>
        <w:t>resected</w:t>
      </w:r>
      <w:proofErr w:type="spellEnd"/>
      <w:r w:rsidRPr="004C49DB">
        <w:rPr>
          <w:sz w:val="22"/>
          <w:szCs w:val="22"/>
          <w:lang w:val="en-US"/>
        </w:rPr>
        <w:t xml:space="preserve"> 48 h after injection. Four days after cell injection, PAR3 expression was induced in mice that drank water supplied with 2% sucrose plus 2 mg/ml </w:t>
      </w:r>
      <w:proofErr w:type="spellStart"/>
      <w:r w:rsidRPr="004C49DB">
        <w:rPr>
          <w:sz w:val="22"/>
          <w:szCs w:val="22"/>
          <w:lang w:val="en-US"/>
        </w:rPr>
        <w:t>doxycycline</w:t>
      </w:r>
      <w:proofErr w:type="spellEnd"/>
      <w:r w:rsidRPr="004C49DB">
        <w:rPr>
          <w:sz w:val="22"/>
          <w:szCs w:val="22"/>
          <w:lang w:val="en-US"/>
        </w:rPr>
        <w:t> </w:t>
      </w:r>
      <w:r w:rsidRPr="004C49DB">
        <w:rPr>
          <w:i/>
          <w:iCs/>
          <w:sz w:val="22"/>
          <w:szCs w:val="22"/>
          <w:lang w:val="en-US"/>
        </w:rPr>
        <w:t xml:space="preserve">ad </w:t>
      </w:r>
      <w:proofErr w:type="spellStart"/>
      <w:r w:rsidRPr="004C49DB">
        <w:rPr>
          <w:i/>
          <w:iCs/>
          <w:sz w:val="22"/>
          <w:szCs w:val="22"/>
          <w:lang w:val="en-US"/>
        </w:rPr>
        <w:t>libitum</w:t>
      </w:r>
      <w:proofErr w:type="spellEnd"/>
      <w:r w:rsidRPr="004C49DB">
        <w:rPr>
          <w:sz w:val="22"/>
          <w:szCs w:val="22"/>
          <w:lang w:val="en-US"/>
        </w:rPr>
        <w:t xml:space="preserve">. All the mice were killed 5 weeks later and the hepatic and lung metastases were examined. Hepatic and lung metastases were examined macroscopically and microscopically following </w:t>
      </w:r>
      <w:proofErr w:type="spellStart"/>
      <w:r w:rsidRPr="004C49DB">
        <w:rPr>
          <w:sz w:val="22"/>
          <w:szCs w:val="22"/>
          <w:lang w:val="en-US"/>
        </w:rPr>
        <w:t>hematoxylin</w:t>
      </w:r>
      <w:proofErr w:type="spellEnd"/>
      <w:r w:rsidRPr="004C49DB">
        <w:rPr>
          <w:sz w:val="22"/>
          <w:szCs w:val="22"/>
          <w:lang w:val="en-US"/>
        </w:rPr>
        <w:t xml:space="preserve"> and eosin tissue staining.</w:t>
      </w:r>
      <w:r w:rsidRPr="004C49DB">
        <w:rPr>
          <w:sz w:val="22"/>
          <w:szCs w:val="22"/>
          <w:highlight w:val="yellow"/>
          <w:lang w:val="en-US"/>
        </w:rPr>
        <w:t xml:space="preserve"> </w:t>
      </w:r>
    </w:p>
    <w:p w:rsidR="00E063A5" w:rsidRPr="004C49DB" w:rsidRDefault="00E063A5" w:rsidP="00E063A5">
      <w:pPr>
        <w:spacing w:line="480" w:lineRule="auto"/>
        <w:jc w:val="both"/>
        <w:rPr>
          <w:sz w:val="22"/>
          <w:szCs w:val="22"/>
          <w:lang w:val="en-US"/>
        </w:rPr>
      </w:pPr>
      <w:r w:rsidRPr="004C49DB">
        <w:rPr>
          <w:sz w:val="22"/>
          <w:szCs w:val="22"/>
          <w:lang w:val="en-US"/>
        </w:rPr>
        <w:t xml:space="preserve">To generate the </w:t>
      </w:r>
      <w:proofErr w:type="spellStart"/>
      <w:r w:rsidRPr="004C49DB">
        <w:rPr>
          <w:sz w:val="22"/>
          <w:szCs w:val="22"/>
          <w:lang w:val="en-US"/>
        </w:rPr>
        <w:t>orthotopic</w:t>
      </w:r>
      <w:proofErr w:type="spellEnd"/>
      <w:r w:rsidRPr="004C49DB">
        <w:rPr>
          <w:sz w:val="22"/>
          <w:szCs w:val="22"/>
          <w:lang w:val="en-US"/>
        </w:rPr>
        <w:t xml:space="preserve"> model, </w:t>
      </w:r>
      <w:proofErr w:type="spellStart"/>
      <w:r w:rsidRPr="004C49DB">
        <w:rPr>
          <w:sz w:val="22"/>
          <w:szCs w:val="22"/>
          <w:lang w:val="en-US"/>
        </w:rPr>
        <w:t>athymic</w:t>
      </w:r>
      <w:proofErr w:type="spellEnd"/>
      <w:r w:rsidRPr="004C49DB">
        <w:rPr>
          <w:sz w:val="22"/>
          <w:szCs w:val="22"/>
          <w:lang w:val="en-US"/>
        </w:rPr>
        <w:t xml:space="preserve"> male </w:t>
      </w:r>
      <w:r w:rsidRPr="004C49DB">
        <w:rPr>
          <w:i/>
          <w:sz w:val="22"/>
          <w:szCs w:val="22"/>
          <w:lang w:val="en-US"/>
        </w:rPr>
        <w:t>nu/nu</w:t>
      </w:r>
      <w:r w:rsidRPr="004C49DB">
        <w:rPr>
          <w:sz w:val="22"/>
          <w:szCs w:val="22"/>
          <w:lang w:val="en-US"/>
        </w:rPr>
        <w:t xml:space="preserve"> mice aged 4-5 weeks were maintained in a sterile environment. First, the H157tr and H157tr-PAR3wt cells (1.5x10</w:t>
      </w:r>
      <w:r w:rsidRPr="004C49DB">
        <w:rPr>
          <w:sz w:val="22"/>
          <w:szCs w:val="22"/>
          <w:vertAlign w:val="superscript"/>
          <w:lang w:val="en-US"/>
        </w:rPr>
        <w:t>6</w:t>
      </w:r>
      <w:r w:rsidRPr="004C49DB">
        <w:rPr>
          <w:sz w:val="22"/>
          <w:szCs w:val="22"/>
          <w:lang w:val="en-US"/>
        </w:rPr>
        <w:t xml:space="preserve"> cells) were grafted subcutaneously in anesthetized nude mice (n=3, for each cell type). Once the tumor had grown to 600-800 mm</w:t>
      </w:r>
      <w:r w:rsidRPr="004C49DB">
        <w:rPr>
          <w:sz w:val="22"/>
          <w:szCs w:val="22"/>
          <w:vertAlign w:val="superscript"/>
          <w:lang w:val="en-US"/>
        </w:rPr>
        <w:t>3</w:t>
      </w:r>
      <w:r w:rsidRPr="004C49DB">
        <w:rPr>
          <w:sz w:val="22"/>
          <w:szCs w:val="22"/>
          <w:lang w:val="en-US"/>
        </w:rPr>
        <w:t xml:space="preserve">, mice were sacrificed, tumors harvested, cut into equally sized small fragments </w:t>
      </w:r>
      <w:r w:rsidRPr="004C49DB">
        <w:rPr>
          <w:sz w:val="22"/>
          <w:szCs w:val="22"/>
          <w:lang w:val="en-US"/>
        </w:rPr>
        <w:lastRenderedPageBreak/>
        <w:t>of 3x3 mm</w:t>
      </w:r>
      <w:r w:rsidRPr="004C49DB">
        <w:rPr>
          <w:sz w:val="22"/>
          <w:szCs w:val="22"/>
          <w:vertAlign w:val="superscript"/>
          <w:lang w:val="en-US"/>
        </w:rPr>
        <w:t xml:space="preserve">3 </w:t>
      </w:r>
      <w:r w:rsidRPr="004C49DB">
        <w:rPr>
          <w:sz w:val="22"/>
          <w:szCs w:val="22"/>
          <w:lang w:val="en-US"/>
        </w:rPr>
        <w:t xml:space="preserve">and maintained in DMEM supplied medium with 10% fetal bovine serum and penicillin/streptomycin. Solid fragments with absent or minimal presence of necrotic areas were selected for </w:t>
      </w:r>
      <w:proofErr w:type="spellStart"/>
      <w:r w:rsidRPr="004C49DB">
        <w:rPr>
          <w:sz w:val="22"/>
          <w:szCs w:val="22"/>
          <w:lang w:val="en-US"/>
        </w:rPr>
        <w:t>orthotopic</w:t>
      </w:r>
      <w:proofErr w:type="spellEnd"/>
      <w:r w:rsidRPr="004C49DB">
        <w:rPr>
          <w:sz w:val="22"/>
          <w:szCs w:val="22"/>
          <w:lang w:val="en-US"/>
        </w:rPr>
        <w:t xml:space="preserve"> implantation into the lung. </w:t>
      </w:r>
      <w:r>
        <w:rPr>
          <w:sz w:val="22"/>
          <w:szCs w:val="22"/>
          <w:lang w:val="en-US"/>
        </w:rPr>
        <w:t>M</w:t>
      </w:r>
      <w:r w:rsidRPr="004C49DB">
        <w:rPr>
          <w:sz w:val="22"/>
          <w:szCs w:val="22"/>
          <w:lang w:val="en-US"/>
        </w:rPr>
        <w:t xml:space="preserve">ice were anesthetized with a continuous flow of 1% to 3% </w:t>
      </w:r>
      <w:proofErr w:type="spellStart"/>
      <w:r w:rsidRPr="004C49DB">
        <w:rPr>
          <w:sz w:val="22"/>
          <w:szCs w:val="22"/>
          <w:lang w:val="en-US"/>
        </w:rPr>
        <w:t>isoflurane</w:t>
      </w:r>
      <w:proofErr w:type="spellEnd"/>
      <w:r w:rsidRPr="004C49DB">
        <w:rPr>
          <w:sz w:val="22"/>
          <w:szCs w:val="22"/>
          <w:lang w:val="en-US"/>
        </w:rPr>
        <w:t xml:space="preserve">/oxygen mixture (2 l/min) and subjected to right </w:t>
      </w:r>
      <w:proofErr w:type="spellStart"/>
      <w:r w:rsidRPr="004C49DB">
        <w:rPr>
          <w:sz w:val="22"/>
          <w:szCs w:val="22"/>
          <w:lang w:val="en-US"/>
        </w:rPr>
        <w:t>thoracotomy</w:t>
      </w:r>
      <w:proofErr w:type="spellEnd"/>
      <w:r w:rsidRPr="004C49DB">
        <w:rPr>
          <w:sz w:val="22"/>
          <w:szCs w:val="22"/>
          <w:lang w:val="en-US"/>
        </w:rPr>
        <w:t xml:space="preserve">. Mice were situated in the left lateral </w:t>
      </w:r>
      <w:proofErr w:type="spellStart"/>
      <w:r w:rsidRPr="004C49DB">
        <w:rPr>
          <w:sz w:val="22"/>
          <w:szCs w:val="22"/>
          <w:lang w:val="en-US"/>
        </w:rPr>
        <w:t>decubitus</w:t>
      </w:r>
      <w:proofErr w:type="spellEnd"/>
      <w:r w:rsidRPr="004C49DB">
        <w:rPr>
          <w:sz w:val="22"/>
          <w:szCs w:val="22"/>
          <w:lang w:val="en-US"/>
        </w:rPr>
        <w:t xml:space="preserve"> position and a small transverse skin incision (around 5-8 mm) was made in the right chest wall. Chest muscles were separated by a sharp dissection and costal and </w:t>
      </w:r>
      <w:proofErr w:type="spellStart"/>
      <w:r w:rsidRPr="004C49DB">
        <w:rPr>
          <w:sz w:val="22"/>
          <w:szCs w:val="22"/>
          <w:lang w:val="en-US"/>
        </w:rPr>
        <w:t>intercostal</w:t>
      </w:r>
      <w:proofErr w:type="spellEnd"/>
      <w:r w:rsidRPr="004C49DB">
        <w:rPr>
          <w:sz w:val="22"/>
          <w:szCs w:val="22"/>
          <w:lang w:val="en-US"/>
        </w:rPr>
        <w:t xml:space="preserve"> muscles were exposed. An </w:t>
      </w:r>
      <w:proofErr w:type="spellStart"/>
      <w:r w:rsidRPr="004C49DB">
        <w:rPr>
          <w:sz w:val="22"/>
          <w:szCs w:val="22"/>
          <w:lang w:val="en-US"/>
        </w:rPr>
        <w:t>intercostal</w:t>
      </w:r>
      <w:proofErr w:type="spellEnd"/>
      <w:r w:rsidRPr="004C49DB">
        <w:rPr>
          <w:sz w:val="22"/>
          <w:szCs w:val="22"/>
          <w:lang w:val="en-US"/>
        </w:rPr>
        <w:t xml:space="preserve"> incision of 2-4 mm was made on the third or fourth rib on the chest-wall and a small tumor piece of 2-4 mm</w:t>
      </w:r>
      <w:r w:rsidRPr="004C49DB">
        <w:rPr>
          <w:sz w:val="22"/>
          <w:szCs w:val="22"/>
          <w:vertAlign w:val="superscript"/>
          <w:lang w:val="en-US"/>
        </w:rPr>
        <w:t>3</w:t>
      </w:r>
      <w:r w:rsidRPr="004C49DB">
        <w:rPr>
          <w:sz w:val="22"/>
          <w:szCs w:val="22"/>
          <w:lang w:val="en-US"/>
        </w:rPr>
        <w:t xml:space="preserve"> was introduced into the chest cavity. The tumor specimen was anchored to the lung surface (in the second or third lung lobule) with </w:t>
      </w:r>
      <w:proofErr w:type="spellStart"/>
      <w:r w:rsidRPr="004C49DB">
        <w:rPr>
          <w:sz w:val="22"/>
          <w:szCs w:val="22"/>
          <w:lang w:val="en-US"/>
        </w:rPr>
        <w:t>Prolene</w:t>
      </w:r>
      <w:proofErr w:type="spellEnd"/>
      <w:r w:rsidRPr="004C49DB">
        <w:rPr>
          <w:sz w:val="22"/>
          <w:szCs w:val="22"/>
          <w:lang w:val="en-US"/>
        </w:rPr>
        <w:t xml:space="preserve"> 7.0. Next, the chest wall incision was closed with surgical staples, and the chest muscles and skin were closed</w:t>
      </w:r>
      <w:r w:rsidR="00F80385">
        <w:rPr>
          <w:sz w:val="22"/>
          <w:szCs w:val="22"/>
          <w:lang w:val="en-US"/>
        </w:rPr>
        <w:t xml:space="preserve"> (6-7)</w:t>
      </w:r>
      <w:r w:rsidRPr="004C49DB">
        <w:rPr>
          <w:sz w:val="22"/>
          <w:szCs w:val="22"/>
          <w:lang w:val="en-US"/>
        </w:rPr>
        <w:t xml:space="preserve">. To induce ectopic PAR3 expression ten days </w:t>
      </w:r>
      <w:proofErr w:type="spellStart"/>
      <w:r w:rsidRPr="004C49DB">
        <w:rPr>
          <w:sz w:val="22"/>
          <w:szCs w:val="22"/>
          <w:lang w:val="en-US"/>
        </w:rPr>
        <w:t>postimplantation</w:t>
      </w:r>
      <w:proofErr w:type="spellEnd"/>
      <w:r w:rsidRPr="004C49DB">
        <w:rPr>
          <w:sz w:val="22"/>
          <w:szCs w:val="22"/>
          <w:lang w:val="en-US"/>
        </w:rPr>
        <w:t xml:space="preserve"> the engrafted animals drank water supplied with 1% sucrose plus 2 mg/ml </w:t>
      </w:r>
      <w:proofErr w:type="spellStart"/>
      <w:r w:rsidRPr="004C49DB">
        <w:rPr>
          <w:sz w:val="22"/>
          <w:szCs w:val="22"/>
          <w:lang w:val="en-US"/>
        </w:rPr>
        <w:t>doxycycline</w:t>
      </w:r>
      <w:proofErr w:type="spellEnd"/>
      <w:r w:rsidRPr="004C49DB">
        <w:rPr>
          <w:sz w:val="22"/>
          <w:szCs w:val="22"/>
          <w:lang w:val="en-US"/>
        </w:rPr>
        <w:t xml:space="preserve"> </w:t>
      </w:r>
      <w:r w:rsidRPr="004C49DB">
        <w:rPr>
          <w:i/>
          <w:sz w:val="22"/>
          <w:szCs w:val="22"/>
          <w:lang w:val="en-US"/>
        </w:rPr>
        <w:t xml:space="preserve">ad </w:t>
      </w:r>
      <w:proofErr w:type="spellStart"/>
      <w:r w:rsidRPr="004C49DB">
        <w:rPr>
          <w:i/>
          <w:sz w:val="22"/>
          <w:szCs w:val="22"/>
          <w:lang w:val="en-US"/>
        </w:rPr>
        <w:t>libitum</w:t>
      </w:r>
      <w:proofErr w:type="spellEnd"/>
      <w:r w:rsidRPr="004C49DB">
        <w:rPr>
          <w:sz w:val="22"/>
          <w:szCs w:val="22"/>
          <w:lang w:val="en-US"/>
        </w:rPr>
        <w:t xml:space="preserve">. Mice were inspected daily, and monitored for evidence of breathing problems, and sacrificed when they displayed serious respiratory difficulty, which was subsequently confirmed to be associated with lung tumor burden. For histological analysis of lung and liver tumors, lungs and livers were fixed and embedded in paraffin. Five-micrometer sections were stained with H&amp;E, using standard protocols, and examined by light microscopy in a blinded fashion. </w:t>
      </w:r>
    </w:p>
    <w:p w:rsidR="00231B4C" w:rsidRDefault="00231B4C" w:rsidP="00231B4C">
      <w:pPr>
        <w:spacing w:line="480" w:lineRule="auto"/>
        <w:jc w:val="both"/>
        <w:rPr>
          <w:b/>
          <w:sz w:val="22"/>
          <w:szCs w:val="22"/>
          <w:lang w:val="en-US"/>
        </w:rPr>
      </w:pPr>
    </w:p>
    <w:p w:rsidR="00231B4C" w:rsidRPr="00A1088A" w:rsidRDefault="00231B4C" w:rsidP="00231B4C">
      <w:pPr>
        <w:spacing w:line="480" w:lineRule="auto"/>
        <w:jc w:val="both"/>
        <w:rPr>
          <w:b/>
          <w:sz w:val="22"/>
          <w:szCs w:val="22"/>
          <w:lang w:val="en-US"/>
        </w:rPr>
      </w:pPr>
      <w:r w:rsidRPr="00A1088A">
        <w:rPr>
          <w:b/>
          <w:sz w:val="22"/>
          <w:szCs w:val="22"/>
          <w:lang w:val="en-US"/>
        </w:rPr>
        <w:t xml:space="preserve">Statistical and </w:t>
      </w:r>
      <w:proofErr w:type="spellStart"/>
      <w:r w:rsidRPr="00A1088A">
        <w:rPr>
          <w:b/>
          <w:sz w:val="22"/>
          <w:szCs w:val="22"/>
          <w:lang w:val="en-US"/>
        </w:rPr>
        <w:t>bioinformatic</w:t>
      </w:r>
      <w:proofErr w:type="spellEnd"/>
      <w:r w:rsidRPr="00A1088A">
        <w:rPr>
          <w:b/>
          <w:sz w:val="22"/>
          <w:szCs w:val="22"/>
          <w:lang w:val="en-US"/>
        </w:rPr>
        <w:t xml:space="preserve"> analysis </w:t>
      </w:r>
    </w:p>
    <w:p w:rsidR="00231B4C" w:rsidRDefault="00231B4C" w:rsidP="00231B4C">
      <w:pPr>
        <w:spacing w:line="480" w:lineRule="auto"/>
        <w:jc w:val="both"/>
        <w:rPr>
          <w:sz w:val="22"/>
          <w:szCs w:val="22"/>
          <w:lang w:val="en-US"/>
        </w:rPr>
      </w:pPr>
      <w:r w:rsidRPr="00A1088A">
        <w:rPr>
          <w:sz w:val="22"/>
          <w:szCs w:val="22"/>
          <w:lang w:val="en-US"/>
        </w:rPr>
        <w:t>Analysis consisted of chi-square, two-tailed unpaired Student’s t, Mann-Whitney and ANOVA tests. Results of the Student’s t tests are presented as means and standard deviations. We considered significant any test with a value of p&lt;0.05.</w:t>
      </w:r>
      <w:r w:rsidRPr="00A1088A">
        <w:rPr>
          <w:bCs/>
          <w:sz w:val="22"/>
          <w:szCs w:val="22"/>
          <w:lang w:val="en-US"/>
        </w:rPr>
        <w:t xml:space="preserve"> </w:t>
      </w:r>
      <w:r w:rsidRPr="00A1088A">
        <w:rPr>
          <w:sz w:val="22"/>
          <w:szCs w:val="22"/>
          <w:lang w:val="en-US"/>
        </w:rPr>
        <w:t xml:space="preserve">To identify genes that are important for distinguishing the </w:t>
      </w:r>
      <w:r w:rsidRPr="00A1088A">
        <w:rPr>
          <w:i/>
          <w:iCs/>
          <w:sz w:val="22"/>
          <w:szCs w:val="22"/>
          <w:lang w:val="en-US"/>
        </w:rPr>
        <w:t xml:space="preserve">PARD3 </w:t>
      </w:r>
      <w:r w:rsidRPr="00A1088A">
        <w:rPr>
          <w:sz w:val="22"/>
          <w:szCs w:val="22"/>
          <w:lang w:val="en-US"/>
        </w:rPr>
        <w:t>gene expression signature we carried out an ANOVA.</w:t>
      </w:r>
      <w:r w:rsidRPr="004C49DB">
        <w:rPr>
          <w:sz w:val="22"/>
          <w:szCs w:val="22"/>
          <w:lang w:val="en-US"/>
        </w:rPr>
        <w:t xml:space="preserve"> </w:t>
      </w:r>
    </w:p>
    <w:p w:rsidR="00E063A5" w:rsidRDefault="00E063A5" w:rsidP="00E063A5">
      <w:pPr>
        <w:spacing w:line="480" w:lineRule="auto"/>
        <w:jc w:val="both"/>
        <w:rPr>
          <w:b/>
          <w:sz w:val="22"/>
          <w:szCs w:val="22"/>
          <w:lang w:val="en-US"/>
        </w:rPr>
      </w:pPr>
    </w:p>
    <w:p w:rsidR="003733AE" w:rsidRDefault="003733AE" w:rsidP="00E063A5">
      <w:pPr>
        <w:spacing w:line="480" w:lineRule="auto"/>
        <w:jc w:val="both"/>
        <w:rPr>
          <w:b/>
          <w:sz w:val="22"/>
          <w:szCs w:val="22"/>
          <w:lang w:val="en-US"/>
        </w:rPr>
      </w:pPr>
    </w:p>
    <w:p w:rsidR="003733AE" w:rsidRDefault="003733AE" w:rsidP="00E063A5">
      <w:pPr>
        <w:spacing w:line="480" w:lineRule="auto"/>
        <w:jc w:val="both"/>
        <w:rPr>
          <w:b/>
          <w:sz w:val="22"/>
          <w:szCs w:val="22"/>
          <w:lang w:val="en-US"/>
        </w:rPr>
      </w:pPr>
    </w:p>
    <w:p w:rsidR="003733AE" w:rsidRDefault="003733AE" w:rsidP="00E063A5">
      <w:pPr>
        <w:spacing w:line="480" w:lineRule="auto"/>
        <w:jc w:val="both"/>
        <w:rPr>
          <w:b/>
          <w:sz w:val="22"/>
          <w:szCs w:val="22"/>
          <w:lang w:val="en-US"/>
        </w:rPr>
      </w:pPr>
    </w:p>
    <w:p w:rsidR="00594B96" w:rsidRPr="009830C7" w:rsidRDefault="00594B96" w:rsidP="00E063A5">
      <w:pPr>
        <w:spacing w:line="480" w:lineRule="auto"/>
        <w:jc w:val="both"/>
        <w:rPr>
          <w:b/>
          <w:sz w:val="28"/>
          <w:szCs w:val="28"/>
          <w:lang w:val="en-US"/>
        </w:rPr>
      </w:pPr>
      <w:r w:rsidRPr="009830C7">
        <w:rPr>
          <w:b/>
          <w:sz w:val="28"/>
          <w:szCs w:val="28"/>
          <w:lang w:val="en-US"/>
        </w:rPr>
        <w:lastRenderedPageBreak/>
        <w:t>References</w:t>
      </w:r>
    </w:p>
    <w:p w:rsidR="00A27BCF" w:rsidRPr="00263AE8" w:rsidRDefault="00A27BCF" w:rsidP="00A27BCF">
      <w:pPr>
        <w:pStyle w:val="NormalWeb"/>
        <w:ind w:left="640" w:hanging="640"/>
        <w:jc w:val="both"/>
        <w:rPr>
          <w:rFonts w:eastAsiaTheme="minorEastAsia"/>
          <w:noProof/>
          <w:sz w:val="22"/>
          <w:lang w:val="en-US"/>
        </w:rPr>
      </w:pPr>
      <w:r>
        <w:rPr>
          <w:noProof/>
          <w:sz w:val="22"/>
          <w:lang w:val="en-US"/>
        </w:rPr>
        <w:t>1</w:t>
      </w:r>
      <w:r>
        <w:rPr>
          <w:noProof/>
          <w:sz w:val="22"/>
          <w:lang w:val="en-US"/>
        </w:rPr>
        <w:tab/>
      </w:r>
      <w:r w:rsidRPr="00D65253">
        <w:rPr>
          <w:noProof/>
          <w:sz w:val="22"/>
          <w:lang w:val="en-US"/>
        </w:rPr>
        <w:t xml:space="preserve">Ding L, Getz G, Wheeler DA, Mardis ER, McLellan MD, Cibulskis K, et al. Somatic mutations affect key pathways in lung adenocarcinoma. </w:t>
      </w:r>
      <w:r w:rsidRPr="00263AE8">
        <w:rPr>
          <w:noProof/>
          <w:sz w:val="22"/>
          <w:lang w:val="en-US"/>
        </w:rPr>
        <w:t xml:space="preserve">Nature. 2008;455:1069–75. </w:t>
      </w:r>
    </w:p>
    <w:p w:rsidR="00A30A6F" w:rsidRPr="00A30A6F" w:rsidRDefault="00A27BCF" w:rsidP="00A30A6F">
      <w:pPr>
        <w:pStyle w:val="NormalWeb"/>
        <w:ind w:left="640" w:hanging="640"/>
        <w:jc w:val="both"/>
        <w:rPr>
          <w:sz w:val="22"/>
          <w:szCs w:val="22"/>
          <w:lang w:val="en-US"/>
        </w:rPr>
      </w:pPr>
      <w:r w:rsidRPr="00263AE8">
        <w:rPr>
          <w:noProof/>
          <w:sz w:val="22"/>
          <w:lang w:val="en-US"/>
        </w:rPr>
        <w:t xml:space="preserve">2. </w:t>
      </w:r>
      <w:r w:rsidRPr="00263AE8">
        <w:rPr>
          <w:noProof/>
          <w:sz w:val="22"/>
          <w:lang w:val="en-US"/>
        </w:rPr>
        <w:tab/>
      </w:r>
      <w:proofErr w:type="spellStart"/>
      <w:r w:rsidR="00A30A6F" w:rsidRPr="004D46D4">
        <w:rPr>
          <w:sz w:val="22"/>
          <w:szCs w:val="22"/>
          <w:lang w:val="en-US"/>
        </w:rPr>
        <w:t>Nygren</w:t>
      </w:r>
      <w:proofErr w:type="spellEnd"/>
      <w:r w:rsidR="00A30A6F" w:rsidRPr="004D46D4">
        <w:rPr>
          <w:sz w:val="22"/>
          <w:szCs w:val="22"/>
          <w:lang w:val="en-US"/>
        </w:rPr>
        <w:t xml:space="preserve"> AO, </w:t>
      </w:r>
      <w:proofErr w:type="spellStart"/>
      <w:r w:rsidR="00A30A6F" w:rsidRPr="004D46D4">
        <w:rPr>
          <w:sz w:val="22"/>
          <w:szCs w:val="22"/>
          <w:lang w:val="en-US"/>
        </w:rPr>
        <w:t>Ameziane</w:t>
      </w:r>
      <w:proofErr w:type="spellEnd"/>
      <w:r w:rsidR="00A30A6F" w:rsidRPr="004D46D4">
        <w:rPr>
          <w:sz w:val="22"/>
          <w:szCs w:val="22"/>
          <w:lang w:val="en-US"/>
        </w:rPr>
        <w:t xml:space="preserve"> N, Duarte HM, </w:t>
      </w:r>
      <w:proofErr w:type="spellStart"/>
      <w:r w:rsidR="00A30A6F" w:rsidRPr="004D46D4">
        <w:rPr>
          <w:sz w:val="22"/>
          <w:szCs w:val="22"/>
          <w:lang w:val="en-US"/>
        </w:rPr>
        <w:t>Vijzelaar</w:t>
      </w:r>
      <w:proofErr w:type="spellEnd"/>
      <w:r w:rsidR="00A30A6F" w:rsidRPr="004D46D4">
        <w:rPr>
          <w:sz w:val="22"/>
          <w:szCs w:val="22"/>
          <w:lang w:val="en-US"/>
        </w:rPr>
        <w:t xml:space="preserve"> RN, </w:t>
      </w:r>
      <w:proofErr w:type="spellStart"/>
      <w:r w:rsidR="00A30A6F" w:rsidRPr="004D46D4">
        <w:rPr>
          <w:sz w:val="22"/>
          <w:szCs w:val="22"/>
          <w:lang w:val="en-US"/>
        </w:rPr>
        <w:t>Waisfisz</w:t>
      </w:r>
      <w:proofErr w:type="spellEnd"/>
      <w:r w:rsidR="00A30A6F" w:rsidRPr="004D46D4">
        <w:rPr>
          <w:sz w:val="22"/>
          <w:szCs w:val="22"/>
          <w:lang w:val="en-US"/>
        </w:rPr>
        <w:t xml:space="preserve"> Q, Hess CJ, Schouten JP, </w:t>
      </w:r>
      <w:proofErr w:type="spellStart"/>
      <w:r w:rsidR="00A30A6F" w:rsidRPr="004D46D4">
        <w:rPr>
          <w:sz w:val="22"/>
          <w:szCs w:val="22"/>
          <w:lang w:val="en-US"/>
        </w:rPr>
        <w:t>Errami</w:t>
      </w:r>
      <w:proofErr w:type="spellEnd"/>
      <w:r w:rsidR="00A30A6F" w:rsidRPr="004D46D4">
        <w:rPr>
          <w:sz w:val="22"/>
          <w:szCs w:val="22"/>
          <w:lang w:val="en-US"/>
        </w:rPr>
        <w:t xml:space="preserve"> A. </w:t>
      </w:r>
      <w:proofErr w:type="spellStart"/>
      <w:r w:rsidR="00A30A6F" w:rsidRPr="004D46D4">
        <w:rPr>
          <w:sz w:val="22"/>
          <w:szCs w:val="22"/>
          <w:lang w:val="en-US"/>
        </w:rPr>
        <w:t>Methylation</w:t>
      </w:r>
      <w:proofErr w:type="spellEnd"/>
      <w:r w:rsidR="00A30A6F" w:rsidRPr="004D46D4">
        <w:rPr>
          <w:sz w:val="22"/>
          <w:szCs w:val="22"/>
          <w:lang w:val="en-US"/>
        </w:rPr>
        <w:t xml:space="preserve">-specific MLPA (MS-MLPA): simultaneous detection of </w:t>
      </w:r>
      <w:proofErr w:type="spellStart"/>
      <w:r w:rsidR="00A30A6F" w:rsidRPr="004D46D4">
        <w:rPr>
          <w:sz w:val="22"/>
          <w:szCs w:val="22"/>
          <w:lang w:val="en-US"/>
        </w:rPr>
        <w:t>CpG</w:t>
      </w:r>
      <w:proofErr w:type="spellEnd"/>
      <w:r w:rsidR="00A30A6F" w:rsidRPr="004D46D4">
        <w:rPr>
          <w:sz w:val="22"/>
          <w:szCs w:val="22"/>
          <w:lang w:val="en-US"/>
        </w:rPr>
        <w:t xml:space="preserve"> </w:t>
      </w:r>
      <w:proofErr w:type="spellStart"/>
      <w:r w:rsidR="00A30A6F" w:rsidRPr="004D46D4">
        <w:rPr>
          <w:sz w:val="22"/>
          <w:szCs w:val="22"/>
          <w:lang w:val="en-US"/>
        </w:rPr>
        <w:t>methylation</w:t>
      </w:r>
      <w:proofErr w:type="spellEnd"/>
      <w:r w:rsidR="00A30A6F" w:rsidRPr="004D46D4">
        <w:rPr>
          <w:sz w:val="22"/>
          <w:szCs w:val="22"/>
          <w:lang w:val="en-US"/>
        </w:rPr>
        <w:t xml:space="preserve"> and copy number changes of up to 40 sequences. Nucleic Acids Res</w:t>
      </w:r>
      <w:r w:rsidR="005F26E3">
        <w:rPr>
          <w:sz w:val="22"/>
          <w:szCs w:val="22"/>
          <w:lang w:val="en-US"/>
        </w:rPr>
        <w:t>.</w:t>
      </w:r>
      <w:r w:rsidR="00A30A6F" w:rsidRPr="004D46D4">
        <w:rPr>
          <w:sz w:val="22"/>
          <w:szCs w:val="22"/>
          <w:lang w:val="en-US"/>
        </w:rPr>
        <w:t xml:space="preserve"> </w:t>
      </w:r>
      <w:r w:rsidR="00A30A6F" w:rsidRPr="00A30A6F">
        <w:rPr>
          <w:sz w:val="22"/>
          <w:szCs w:val="22"/>
          <w:lang w:val="en-US"/>
        </w:rPr>
        <w:t>2005;33:e128.</w:t>
      </w:r>
    </w:p>
    <w:p w:rsidR="00A30A6F" w:rsidRPr="00A30A6F" w:rsidRDefault="00A30A6F" w:rsidP="00A30A6F">
      <w:pPr>
        <w:pStyle w:val="NormalWeb"/>
        <w:ind w:left="640" w:hanging="640"/>
        <w:jc w:val="both"/>
        <w:rPr>
          <w:sz w:val="22"/>
          <w:szCs w:val="22"/>
          <w:lang w:val="en-US"/>
        </w:rPr>
      </w:pPr>
      <w:r w:rsidRPr="00A30A6F">
        <w:rPr>
          <w:sz w:val="22"/>
          <w:szCs w:val="22"/>
          <w:lang w:val="en-US"/>
        </w:rPr>
        <w:t>3.</w:t>
      </w:r>
      <w:r w:rsidRPr="00A30A6F">
        <w:rPr>
          <w:sz w:val="22"/>
          <w:szCs w:val="22"/>
          <w:lang w:val="en-US"/>
        </w:rPr>
        <w:tab/>
      </w:r>
      <w:proofErr w:type="spellStart"/>
      <w:r w:rsidRPr="00A30A6F">
        <w:rPr>
          <w:sz w:val="22"/>
          <w:szCs w:val="22"/>
          <w:lang w:val="en-US"/>
        </w:rPr>
        <w:t>Coffa</w:t>
      </w:r>
      <w:proofErr w:type="spellEnd"/>
      <w:r w:rsidRPr="00A30A6F">
        <w:rPr>
          <w:sz w:val="22"/>
          <w:szCs w:val="22"/>
          <w:lang w:val="en-US"/>
        </w:rPr>
        <w:t xml:space="preserve"> J and van den Berg J. (2011). Analysis of MLPA Data Using Novel Software Coffalyser.NET by MRC-Holland, Modern Approaches To Quality Control. Dr. Ahmed </w:t>
      </w:r>
      <w:proofErr w:type="spellStart"/>
      <w:r w:rsidRPr="00A30A6F">
        <w:rPr>
          <w:sz w:val="22"/>
          <w:szCs w:val="22"/>
          <w:lang w:val="en-US"/>
        </w:rPr>
        <w:t>Badr</w:t>
      </w:r>
      <w:proofErr w:type="spellEnd"/>
      <w:r w:rsidRPr="00A30A6F">
        <w:rPr>
          <w:sz w:val="22"/>
          <w:szCs w:val="22"/>
          <w:lang w:val="en-US"/>
        </w:rPr>
        <w:t xml:space="preserve"> </w:t>
      </w:r>
      <w:proofErr w:type="spellStart"/>
      <w:r w:rsidRPr="00A30A6F">
        <w:rPr>
          <w:sz w:val="22"/>
          <w:szCs w:val="22"/>
          <w:lang w:val="en-US"/>
        </w:rPr>
        <w:t>Eldin</w:t>
      </w:r>
      <w:proofErr w:type="spellEnd"/>
      <w:r w:rsidRPr="00A30A6F">
        <w:rPr>
          <w:sz w:val="22"/>
          <w:szCs w:val="22"/>
          <w:lang w:val="en-US"/>
        </w:rPr>
        <w:t xml:space="preserve"> (Ed.), ISBN: 978-953-307-971-4, </w:t>
      </w:r>
      <w:proofErr w:type="spellStart"/>
      <w:r w:rsidRPr="00A30A6F">
        <w:rPr>
          <w:sz w:val="22"/>
          <w:szCs w:val="22"/>
          <w:lang w:val="en-US"/>
        </w:rPr>
        <w:t>InTech</w:t>
      </w:r>
      <w:proofErr w:type="spellEnd"/>
      <w:r w:rsidRPr="00A30A6F">
        <w:rPr>
          <w:sz w:val="22"/>
          <w:szCs w:val="22"/>
          <w:lang w:val="en-US"/>
        </w:rPr>
        <w:t>, DOI: 10.5772/21898.</w:t>
      </w:r>
    </w:p>
    <w:p w:rsidR="00A27BCF" w:rsidRPr="00263AE8" w:rsidRDefault="00A30A6F" w:rsidP="0016657F">
      <w:pPr>
        <w:pStyle w:val="NormalWeb"/>
        <w:ind w:left="640" w:hanging="640"/>
        <w:jc w:val="both"/>
        <w:rPr>
          <w:lang w:val="en-US"/>
        </w:rPr>
      </w:pPr>
      <w:r w:rsidRPr="00263AE8">
        <w:rPr>
          <w:noProof/>
          <w:sz w:val="22"/>
          <w:lang w:val="en-US"/>
        </w:rPr>
        <w:t>4.</w:t>
      </w:r>
      <w:r w:rsidRPr="00263AE8">
        <w:rPr>
          <w:noProof/>
          <w:sz w:val="22"/>
          <w:lang w:val="en-US"/>
        </w:rPr>
        <w:tab/>
      </w:r>
      <w:r w:rsidR="00A27BCF" w:rsidRPr="00263AE8">
        <w:rPr>
          <w:noProof/>
          <w:sz w:val="22"/>
          <w:lang w:val="en-US"/>
        </w:rPr>
        <w:t xml:space="preserve">Castillo SD, Angulo B, Suarez-Gauthier A, Melchor L, Medina PP, Sanchez-Verde L, </w:t>
      </w:r>
      <w:r w:rsidR="00A27BCF" w:rsidRPr="00263AE8">
        <w:rPr>
          <w:noProof/>
          <w:sz w:val="22"/>
          <w:lang w:val="en-US"/>
        </w:rPr>
        <w:tab/>
        <w:t xml:space="preserve">et al. </w:t>
      </w:r>
      <w:r w:rsidR="00A27BCF" w:rsidRPr="00D65253">
        <w:rPr>
          <w:noProof/>
          <w:sz w:val="22"/>
          <w:lang w:val="en-US"/>
        </w:rPr>
        <w:t xml:space="preserve">Gene amplification of the transcription factor DP1 and CTNND1 in human lung </w:t>
      </w:r>
      <w:r w:rsidR="00A27BCF">
        <w:rPr>
          <w:noProof/>
          <w:sz w:val="22"/>
          <w:lang w:val="en-US"/>
        </w:rPr>
        <w:tab/>
      </w:r>
      <w:r w:rsidR="00A27BCF" w:rsidRPr="00D65253">
        <w:rPr>
          <w:noProof/>
          <w:sz w:val="22"/>
          <w:lang w:val="en-US"/>
        </w:rPr>
        <w:t xml:space="preserve">cancer. </w:t>
      </w:r>
      <w:r w:rsidR="00A27BCF" w:rsidRPr="00263AE8">
        <w:rPr>
          <w:noProof/>
          <w:sz w:val="22"/>
          <w:lang w:val="en-US"/>
        </w:rPr>
        <w:t>J Pathol. 2010;222:89–98.</w:t>
      </w:r>
    </w:p>
    <w:p w:rsidR="005F26E3" w:rsidRDefault="00A30A6F" w:rsidP="005F26E3">
      <w:pPr>
        <w:pStyle w:val="NormalWeb"/>
        <w:ind w:left="640" w:hanging="640"/>
        <w:jc w:val="both"/>
        <w:rPr>
          <w:sz w:val="22"/>
          <w:szCs w:val="22"/>
          <w:lang w:val="en-US"/>
        </w:rPr>
      </w:pPr>
      <w:r w:rsidRPr="005F26E3">
        <w:rPr>
          <w:sz w:val="22"/>
          <w:szCs w:val="22"/>
          <w:lang w:val="en-US"/>
        </w:rPr>
        <w:t>5</w:t>
      </w:r>
      <w:r w:rsidR="005F26E3" w:rsidRPr="005F26E3">
        <w:rPr>
          <w:lang w:val="en-US"/>
        </w:rPr>
        <w:t xml:space="preserve">    </w:t>
      </w:r>
      <w:r w:rsidR="005F26E3">
        <w:rPr>
          <w:lang w:val="en-US"/>
        </w:rPr>
        <w:t xml:space="preserve">  </w:t>
      </w:r>
      <w:r w:rsidR="005F26E3" w:rsidRPr="005F26E3">
        <w:rPr>
          <w:lang w:val="en-US"/>
        </w:rPr>
        <w:t xml:space="preserve"> </w:t>
      </w:r>
      <w:r w:rsidR="005F26E3" w:rsidRPr="005F26E3">
        <w:rPr>
          <w:sz w:val="22"/>
          <w:szCs w:val="22"/>
          <w:lang w:val="en-US"/>
        </w:rPr>
        <w:t>Angulo B, Suarez-Gauthier A, Lopez-Rios F, Medina PP, Conde E, Tang M, Soler G, Lopez-</w:t>
      </w:r>
      <w:proofErr w:type="spellStart"/>
      <w:r w:rsidR="005F26E3" w:rsidRPr="005F26E3">
        <w:rPr>
          <w:sz w:val="22"/>
          <w:szCs w:val="22"/>
          <w:lang w:val="en-US"/>
        </w:rPr>
        <w:t>Encuentra</w:t>
      </w:r>
      <w:proofErr w:type="spellEnd"/>
      <w:r w:rsidR="005F26E3" w:rsidRPr="005F26E3">
        <w:rPr>
          <w:sz w:val="22"/>
          <w:szCs w:val="22"/>
          <w:lang w:val="en-US"/>
        </w:rPr>
        <w:t xml:space="preserve"> A, </w:t>
      </w:r>
      <w:proofErr w:type="spellStart"/>
      <w:r w:rsidR="005F26E3" w:rsidRPr="005F26E3">
        <w:rPr>
          <w:sz w:val="22"/>
          <w:szCs w:val="22"/>
          <w:lang w:val="en-US"/>
        </w:rPr>
        <w:t>Cigudosa</w:t>
      </w:r>
      <w:proofErr w:type="spellEnd"/>
      <w:r w:rsidR="005F26E3" w:rsidRPr="005F26E3">
        <w:rPr>
          <w:sz w:val="22"/>
          <w:szCs w:val="22"/>
          <w:lang w:val="en-US"/>
        </w:rPr>
        <w:t xml:space="preserve"> JC, Sanchez-Cespedes M.</w:t>
      </w:r>
      <w:r w:rsidR="005F26E3" w:rsidRPr="005F26E3">
        <w:rPr>
          <w:lang w:val="en-US"/>
        </w:rPr>
        <w:t xml:space="preserve"> </w:t>
      </w:r>
      <w:r w:rsidR="005F26E3" w:rsidRPr="005F26E3">
        <w:rPr>
          <w:sz w:val="22"/>
          <w:szCs w:val="22"/>
          <w:lang w:val="en-US"/>
        </w:rPr>
        <w:t xml:space="preserve">Expression signatures in lung cancer reveal a profile for EGFR-mutant </w:t>
      </w:r>
      <w:proofErr w:type="spellStart"/>
      <w:r w:rsidR="005F26E3" w:rsidRPr="005F26E3">
        <w:rPr>
          <w:sz w:val="22"/>
          <w:szCs w:val="22"/>
          <w:lang w:val="en-US"/>
        </w:rPr>
        <w:t>tumours</w:t>
      </w:r>
      <w:proofErr w:type="spellEnd"/>
      <w:r w:rsidR="005F26E3" w:rsidRPr="005F26E3">
        <w:rPr>
          <w:sz w:val="22"/>
          <w:szCs w:val="22"/>
          <w:lang w:val="en-US"/>
        </w:rPr>
        <w:t xml:space="preserve"> and identify selective PIK3CA </w:t>
      </w:r>
      <w:proofErr w:type="spellStart"/>
      <w:r w:rsidR="005F26E3" w:rsidRPr="005F26E3">
        <w:rPr>
          <w:sz w:val="22"/>
          <w:szCs w:val="22"/>
          <w:lang w:val="en-US"/>
        </w:rPr>
        <w:t>overexpression</w:t>
      </w:r>
      <w:proofErr w:type="spellEnd"/>
      <w:r w:rsidR="005F26E3" w:rsidRPr="005F26E3">
        <w:rPr>
          <w:sz w:val="22"/>
          <w:szCs w:val="22"/>
          <w:lang w:val="en-US"/>
        </w:rPr>
        <w:t xml:space="preserve"> by gene amplification. J </w:t>
      </w:r>
      <w:proofErr w:type="spellStart"/>
      <w:r w:rsidR="005F26E3" w:rsidRPr="005F26E3">
        <w:rPr>
          <w:sz w:val="22"/>
          <w:szCs w:val="22"/>
          <w:lang w:val="en-US"/>
        </w:rPr>
        <w:t>Pathol</w:t>
      </w:r>
      <w:proofErr w:type="spellEnd"/>
      <w:r w:rsidR="005F26E3" w:rsidRPr="005F26E3">
        <w:rPr>
          <w:sz w:val="22"/>
          <w:szCs w:val="22"/>
          <w:lang w:val="en-US"/>
        </w:rPr>
        <w:t>. 2008;214:347-56.</w:t>
      </w:r>
    </w:p>
    <w:p w:rsidR="00F80385" w:rsidRPr="00E569A9" w:rsidRDefault="00F80385" w:rsidP="00F80385">
      <w:pPr>
        <w:pStyle w:val="NormalWeb"/>
        <w:ind w:left="640" w:hanging="640"/>
        <w:jc w:val="both"/>
        <w:rPr>
          <w:sz w:val="22"/>
          <w:szCs w:val="22"/>
          <w:lang w:val="en-US"/>
        </w:rPr>
      </w:pPr>
      <w:r>
        <w:rPr>
          <w:sz w:val="22"/>
          <w:szCs w:val="22"/>
          <w:lang w:val="en-US"/>
        </w:rPr>
        <w:t>6.</w:t>
      </w:r>
      <w:r>
        <w:rPr>
          <w:sz w:val="22"/>
          <w:szCs w:val="22"/>
          <w:lang w:val="en-US"/>
        </w:rPr>
        <w:tab/>
      </w:r>
      <w:proofErr w:type="spellStart"/>
      <w:r w:rsidRPr="002C2A7F">
        <w:rPr>
          <w:sz w:val="22"/>
          <w:szCs w:val="22"/>
          <w:lang w:val="en-US"/>
        </w:rPr>
        <w:t>Kuo</w:t>
      </w:r>
      <w:proofErr w:type="spellEnd"/>
      <w:r w:rsidRPr="002C2A7F">
        <w:rPr>
          <w:sz w:val="22"/>
          <w:szCs w:val="22"/>
          <w:lang w:val="en-US"/>
        </w:rPr>
        <w:t xml:space="preserve"> TH, Kubota T, Watanabe M, Furukawa T, </w:t>
      </w:r>
      <w:proofErr w:type="spellStart"/>
      <w:r w:rsidRPr="002C2A7F">
        <w:rPr>
          <w:sz w:val="22"/>
          <w:szCs w:val="22"/>
          <w:lang w:val="en-US"/>
        </w:rPr>
        <w:t>Kase</w:t>
      </w:r>
      <w:proofErr w:type="spellEnd"/>
      <w:r w:rsidRPr="002C2A7F">
        <w:rPr>
          <w:sz w:val="22"/>
          <w:szCs w:val="22"/>
          <w:lang w:val="en-US"/>
        </w:rPr>
        <w:t xml:space="preserve"> S, </w:t>
      </w:r>
      <w:proofErr w:type="spellStart"/>
      <w:r w:rsidRPr="002C2A7F">
        <w:rPr>
          <w:sz w:val="22"/>
          <w:szCs w:val="22"/>
          <w:lang w:val="en-US"/>
        </w:rPr>
        <w:t>Tanino</w:t>
      </w:r>
      <w:proofErr w:type="spellEnd"/>
      <w:r w:rsidRPr="002C2A7F">
        <w:rPr>
          <w:sz w:val="22"/>
          <w:szCs w:val="22"/>
          <w:lang w:val="en-US"/>
        </w:rPr>
        <w:t xml:space="preserve"> H, </w:t>
      </w:r>
      <w:proofErr w:type="spellStart"/>
      <w:r w:rsidRPr="002C2A7F">
        <w:rPr>
          <w:sz w:val="22"/>
          <w:szCs w:val="22"/>
          <w:lang w:val="en-US"/>
        </w:rPr>
        <w:t>Saikawa</w:t>
      </w:r>
      <w:proofErr w:type="spellEnd"/>
      <w:r w:rsidRPr="002C2A7F">
        <w:rPr>
          <w:sz w:val="22"/>
          <w:szCs w:val="22"/>
          <w:lang w:val="en-US"/>
        </w:rPr>
        <w:t xml:space="preserve"> Y, </w:t>
      </w:r>
      <w:proofErr w:type="spellStart"/>
      <w:r w:rsidRPr="002C2A7F">
        <w:rPr>
          <w:sz w:val="22"/>
          <w:szCs w:val="22"/>
          <w:lang w:val="en-US"/>
        </w:rPr>
        <w:t>Ishibiki</w:t>
      </w:r>
      <w:proofErr w:type="spellEnd"/>
      <w:r w:rsidRPr="002C2A7F">
        <w:rPr>
          <w:sz w:val="22"/>
          <w:szCs w:val="22"/>
          <w:lang w:val="en-US"/>
        </w:rPr>
        <w:t xml:space="preserve"> K, </w:t>
      </w:r>
      <w:proofErr w:type="spellStart"/>
      <w:r w:rsidRPr="002C2A7F">
        <w:rPr>
          <w:sz w:val="22"/>
          <w:szCs w:val="22"/>
          <w:lang w:val="en-US"/>
        </w:rPr>
        <w:t>Kitajima</w:t>
      </w:r>
      <w:proofErr w:type="spellEnd"/>
      <w:r w:rsidRPr="002C2A7F">
        <w:rPr>
          <w:sz w:val="22"/>
          <w:szCs w:val="22"/>
          <w:lang w:val="en-US"/>
        </w:rPr>
        <w:t xml:space="preserve"> M, Hoffman RM. Site-specific </w:t>
      </w:r>
      <w:proofErr w:type="spellStart"/>
      <w:r w:rsidRPr="002C2A7F">
        <w:rPr>
          <w:sz w:val="22"/>
          <w:szCs w:val="22"/>
          <w:lang w:val="en-US"/>
        </w:rPr>
        <w:t>chemosensitivity</w:t>
      </w:r>
      <w:proofErr w:type="spellEnd"/>
      <w:r w:rsidRPr="002C2A7F">
        <w:rPr>
          <w:sz w:val="22"/>
          <w:szCs w:val="22"/>
          <w:lang w:val="en-US"/>
        </w:rPr>
        <w:t xml:space="preserve"> of human small-cell lung carcinoma growing </w:t>
      </w:r>
      <w:proofErr w:type="spellStart"/>
      <w:r w:rsidRPr="002C2A7F">
        <w:rPr>
          <w:sz w:val="22"/>
          <w:szCs w:val="22"/>
          <w:lang w:val="en-US"/>
        </w:rPr>
        <w:t>orthotopically</w:t>
      </w:r>
      <w:proofErr w:type="spellEnd"/>
      <w:r w:rsidRPr="002C2A7F">
        <w:rPr>
          <w:sz w:val="22"/>
          <w:szCs w:val="22"/>
          <w:lang w:val="en-US"/>
        </w:rPr>
        <w:t xml:space="preserve"> compared to subcutaneously in SCID mice: the importance of </w:t>
      </w:r>
      <w:proofErr w:type="spellStart"/>
      <w:r w:rsidRPr="002C2A7F">
        <w:rPr>
          <w:sz w:val="22"/>
          <w:szCs w:val="22"/>
          <w:lang w:val="en-US"/>
        </w:rPr>
        <w:t>orthotopic</w:t>
      </w:r>
      <w:proofErr w:type="spellEnd"/>
      <w:r w:rsidRPr="002C2A7F">
        <w:rPr>
          <w:sz w:val="22"/>
          <w:szCs w:val="22"/>
          <w:lang w:val="en-US"/>
        </w:rPr>
        <w:t xml:space="preserve"> models to obtain relevant drug evaluation data. Anticancer Res. 1993;13:627–30.</w:t>
      </w:r>
      <w:r w:rsidRPr="00E569A9">
        <w:rPr>
          <w:sz w:val="22"/>
          <w:szCs w:val="22"/>
          <w:lang w:val="en-US"/>
        </w:rPr>
        <w:t xml:space="preserve"> </w:t>
      </w:r>
    </w:p>
    <w:p w:rsidR="00A27BCF" w:rsidRPr="002441D9" w:rsidRDefault="00F80385" w:rsidP="001261D1">
      <w:pPr>
        <w:pStyle w:val="NormalWeb"/>
        <w:ind w:left="640" w:hanging="640"/>
        <w:jc w:val="both"/>
        <w:rPr>
          <w:lang w:val="en-US"/>
        </w:rPr>
      </w:pPr>
      <w:r>
        <w:rPr>
          <w:sz w:val="22"/>
          <w:szCs w:val="22"/>
          <w:lang w:val="en-US"/>
        </w:rPr>
        <w:t>7</w:t>
      </w:r>
      <w:r w:rsidRPr="006B1F32">
        <w:rPr>
          <w:sz w:val="22"/>
          <w:szCs w:val="22"/>
          <w:lang w:val="en-US"/>
        </w:rPr>
        <w:t>.</w:t>
      </w:r>
      <w:r w:rsidRPr="006B1F32">
        <w:rPr>
          <w:sz w:val="22"/>
          <w:szCs w:val="22"/>
          <w:lang w:val="en-US"/>
        </w:rPr>
        <w:tab/>
        <w:t xml:space="preserve">Ambrogio C, Carmona FJ, Vidal A, </w:t>
      </w:r>
      <w:proofErr w:type="spellStart"/>
      <w:r w:rsidRPr="006B1F32">
        <w:rPr>
          <w:sz w:val="22"/>
          <w:szCs w:val="22"/>
          <w:lang w:val="en-US"/>
        </w:rPr>
        <w:t>Falcone</w:t>
      </w:r>
      <w:proofErr w:type="spellEnd"/>
      <w:r w:rsidRPr="006B1F32">
        <w:rPr>
          <w:sz w:val="22"/>
          <w:szCs w:val="22"/>
          <w:lang w:val="en-US"/>
        </w:rPr>
        <w:t xml:space="preserve"> M, Nieto P, Romero OA, </w:t>
      </w:r>
      <w:proofErr w:type="spellStart"/>
      <w:r w:rsidRPr="006B1F32">
        <w:rPr>
          <w:sz w:val="22"/>
          <w:szCs w:val="22"/>
          <w:lang w:val="en-US"/>
        </w:rPr>
        <w:t>Puertas</w:t>
      </w:r>
      <w:proofErr w:type="spellEnd"/>
      <w:r w:rsidRPr="006B1F32">
        <w:rPr>
          <w:sz w:val="22"/>
          <w:szCs w:val="22"/>
          <w:lang w:val="en-US"/>
        </w:rPr>
        <w:t xml:space="preserve"> S, Vizoso M, Nadal E, </w:t>
      </w:r>
      <w:proofErr w:type="spellStart"/>
      <w:r w:rsidRPr="006B1F32">
        <w:rPr>
          <w:sz w:val="22"/>
          <w:szCs w:val="22"/>
          <w:lang w:val="en-US"/>
        </w:rPr>
        <w:t>Poggio</w:t>
      </w:r>
      <w:proofErr w:type="spellEnd"/>
      <w:r w:rsidRPr="006B1F32">
        <w:rPr>
          <w:sz w:val="22"/>
          <w:szCs w:val="22"/>
          <w:lang w:val="en-US"/>
        </w:rPr>
        <w:t xml:space="preserve"> T, S</w:t>
      </w:r>
      <w:r w:rsidR="00995834">
        <w:rPr>
          <w:sz w:val="22"/>
          <w:szCs w:val="22"/>
          <w:lang w:val="en-US"/>
        </w:rPr>
        <w:t>a</w:t>
      </w:r>
      <w:r w:rsidRPr="006B1F32">
        <w:rPr>
          <w:sz w:val="22"/>
          <w:szCs w:val="22"/>
          <w:lang w:val="en-US"/>
        </w:rPr>
        <w:t>nchez-C</w:t>
      </w:r>
      <w:r w:rsidR="00995834">
        <w:rPr>
          <w:sz w:val="22"/>
          <w:szCs w:val="22"/>
          <w:lang w:val="en-US"/>
        </w:rPr>
        <w:t>e</w:t>
      </w:r>
      <w:r w:rsidRPr="006B1F32">
        <w:rPr>
          <w:sz w:val="22"/>
          <w:szCs w:val="22"/>
          <w:lang w:val="en-US"/>
        </w:rPr>
        <w:t xml:space="preserve">spedes M, Esteller M, </w:t>
      </w:r>
      <w:proofErr w:type="spellStart"/>
      <w:r w:rsidRPr="006B1F32">
        <w:rPr>
          <w:sz w:val="22"/>
          <w:szCs w:val="22"/>
          <w:lang w:val="en-US"/>
        </w:rPr>
        <w:t>Mulero</w:t>
      </w:r>
      <w:proofErr w:type="spellEnd"/>
      <w:r w:rsidRPr="006B1F32">
        <w:rPr>
          <w:sz w:val="22"/>
          <w:szCs w:val="22"/>
          <w:lang w:val="en-US"/>
        </w:rPr>
        <w:t xml:space="preserve"> F, </w:t>
      </w:r>
      <w:proofErr w:type="spellStart"/>
      <w:r w:rsidRPr="006B1F32">
        <w:rPr>
          <w:sz w:val="22"/>
          <w:szCs w:val="22"/>
          <w:lang w:val="en-US"/>
        </w:rPr>
        <w:t>Voena</w:t>
      </w:r>
      <w:proofErr w:type="spellEnd"/>
      <w:r w:rsidRPr="006B1F32">
        <w:rPr>
          <w:sz w:val="22"/>
          <w:szCs w:val="22"/>
          <w:lang w:val="en-US"/>
        </w:rPr>
        <w:t xml:space="preserve"> C, </w:t>
      </w:r>
      <w:proofErr w:type="spellStart"/>
      <w:r w:rsidRPr="006B1F32">
        <w:rPr>
          <w:sz w:val="22"/>
          <w:szCs w:val="22"/>
          <w:lang w:val="en-US"/>
        </w:rPr>
        <w:t>Chiarle</w:t>
      </w:r>
      <w:proofErr w:type="spellEnd"/>
      <w:r w:rsidRPr="006B1F32">
        <w:rPr>
          <w:sz w:val="22"/>
          <w:szCs w:val="22"/>
          <w:lang w:val="en-US"/>
        </w:rPr>
        <w:t xml:space="preserve"> R, </w:t>
      </w:r>
      <w:proofErr w:type="spellStart"/>
      <w:r w:rsidRPr="006B1F32">
        <w:rPr>
          <w:sz w:val="22"/>
          <w:szCs w:val="22"/>
          <w:lang w:val="en-US"/>
        </w:rPr>
        <w:t>Barbacid</w:t>
      </w:r>
      <w:proofErr w:type="spellEnd"/>
      <w:r w:rsidRPr="006B1F32">
        <w:rPr>
          <w:sz w:val="22"/>
          <w:szCs w:val="22"/>
          <w:lang w:val="en-US"/>
        </w:rPr>
        <w:t xml:space="preserve"> M, Santamaría D, Villanueva A. </w:t>
      </w:r>
      <w:r w:rsidRPr="00511B6A">
        <w:rPr>
          <w:sz w:val="22"/>
          <w:szCs w:val="22"/>
          <w:lang w:val="en-US"/>
        </w:rPr>
        <w:t xml:space="preserve">Modeling lung cancer evolution and therapeutic response by </w:t>
      </w:r>
      <w:proofErr w:type="spellStart"/>
      <w:r w:rsidRPr="00511B6A">
        <w:rPr>
          <w:sz w:val="22"/>
          <w:szCs w:val="22"/>
          <w:lang w:val="en-US"/>
        </w:rPr>
        <w:t>orthotopic</w:t>
      </w:r>
      <w:proofErr w:type="spellEnd"/>
      <w:r w:rsidRPr="00511B6A">
        <w:rPr>
          <w:sz w:val="22"/>
          <w:szCs w:val="22"/>
          <w:lang w:val="en-US"/>
        </w:rPr>
        <w:t xml:space="preserve"> mouse </w:t>
      </w:r>
      <w:proofErr w:type="spellStart"/>
      <w:r w:rsidRPr="00511B6A">
        <w:rPr>
          <w:sz w:val="22"/>
          <w:szCs w:val="22"/>
          <w:lang w:val="en-US"/>
        </w:rPr>
        <w:t>allografts</w:t>
      </w:r>
      <w:proofErr w:type="spellEnd"/>
      <w:r w:rsidRPr="00511B6A">
        <w:rPr>
          <w:sz w:val="22"/>
          <w:szCs w:val="22"/>
          <w:lang w:val="en-US"/>
        </w:rPr>
        <w:t xml:space="preserve">. Cancer Res. </w:t>
      </w:r>
      <w:r w:rsidRPr="00CA442F">
        <w:rPr>
          <w:sz w:val="22"/>
          <w:szCs w:val="22"/>
          <w:lang w:val="en-US"/>
        </w:rPr>
        <w:t>2014;74:5978-88</w:t>
      </w:r>
      <w:r>
        <w:rPr>
          <w:sz w:val="22"/>
          <w:szCs w:val="22"/>
          <w:lang w:val="en-US"/>
        </w:rPr>
        <w:t>.</w:t>
      </w:r>
    </w:p>
    <w:sectPr w:rsidR="00A27BCF" w:rsidRPr="002441D9" w:rsidSect="004F780F">
      <w:footerReference w:type="default" r:id="rId8"/>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B4" w:rsidRDefault="00283CB4" w:rsidP="00E063A5">
      <w:r>
        <w:separator/>
      </w:r>
    </w:p>
  </w:endnote>
  <w:endnote w:type="continuationSeparator" w:id="0">
    <w:p w:rsidR="00283CB4" w:rsidRDefault="00283CB4" w:rsidP="00E063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89382"/>
      <w:docPartObj>
        <w:docPartGallery w:val="Page Numbers (Bottom of Page)"/>
        <w:docPartUnique/>
      </w:docPartObj>
    </w:sdtPr>
    <w:sdtContent>
      <w:p w:rsidR="00E063A5" w:rsidRDefault="0017061E">
        <w:pPr>
          <w:pStyle w:val="Piedepgina"/>
          <w:jc w:val="right"/>
        </w:pPr>
        <w:fldSimple w:instr=" PAGE   \* MERGEFORMAT ">
          <w:r w:rsidR="00231B4C">
            <w:rPr>
              <w:noProof/>
            </w:rPr>
            <w:t>10</w:t>
          </w:r>
        </w:fldSimple>
      </w:p>
    </w:sdtContent>
  </w:sdt>
  <w:p w:rsidR="00E063A5" w:rsidRDefault="00E063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B4" w:rsidRDefault="00283CB4" w:rsidP="00E063A5">
      <w:r>
        <w:separator/>
      </w:r>
    </w:p>
  </w:footnote>
  <w:footnote w:type="continuationSeparator" w:id="0">
    <w:p w:rsidR="00283CB4" w:rsidRDefault="00283CB4" w:rsidP="00E06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41D9"/>
    <w:rsid w:val="00016904"/>
    <w:rsid w:val="000538B5"/>
    <w:rsid w:val="000B6DF5"/>
    <w:rsid w:val="000E76E9"/>
    <w:rsid w:val="000F10D3"/>
    <w:rsid w:val="000F4940"/>
    <w:rsid w:val="001261D1"/>
    <w:rsid w:val="00143C3D"/>
    <w:rsid w:val="00154DB2"/>
    <w:rsid w:val="0016657F"/>
    <w:rsid w:val="0017061E"/>
    <w:rsid w:val="001B2DA9"/>
    <w:rsid w:val="00231B4C"/>
    <w:rsid w:val="002441D9"/>
    <w:rsid w:val="00263AE8"/>
    <w:rsid w:val="002743EC"/>
    <w:rsid w:val="00283CB4"/>
    <w:rsid w:val="002B7E4F"/>
    <w:rsid w:val="002E6F22"/>
    <w:rsid w:val="002E7FF8"/>
    <w:rsid w:val="002F67EE"/>
    <w:rsid w:val="00344396"/>
    <w:rsid w:val="003733AE"/>
    <w:rsid w:val="00373B57"/>
    <w:rsid w:val="00383C99"/>
    <w:rsid w:val="00387AAD"/>
    <w:rsid w:val="003C3BB2"/>
    <w:rsid w:val="003C770D"/>
    <w:rsid w:val="003F5BE1"/>
    <w:rsid w:val="004124C8"/>
    <w:rsid w:val="00440CC8"/>
    <w:rsid w:val="00474029"/>
    <w:rsid w:val="004951C7"/>
    <w:rsid w:val="004B1361"/>
    <w:rsid w:val="004E2D7B"/>
    <w:rsid w:val="004F374E"/>
    <w:rsid w:val="004F5361"/>
    <w:rsid w:val="004F780F"/>
    <w:rsid w:val="00526B11"/>
    <w:rsid w:val="00583FEB"/>
    <w:rsid w:val="00594B96"/>
    <w:rsid w:val="005F26E3"/>
    <w:rsid w:val="00656079"/>
    <w:rsid w:val="00692C04"/>
    <w:rsid w:val="006D47A2"/>
    <w:rsid w:val="006D646F"/>
    <w:rsid w:val="0071155A"/>
    <w:rsid w:val="007143C2"/>
    <w:rsid w:val="00714DD7"/>
    <w:rsid w:val="00715FDE"/>
    <w:rsid w:val="00730F1C"/>
    <w:rsid w:val="00746881"/>
    <w:rsid w:val="00780D62"/>
    <w:rsid w:val="007C34A8"/>
    <w:rsid w:val="0085740C"/>
    <w:rsid w:val="00875685"/>
    <w:rsid w:val="008900DD"/>
    <w:rsid w:val="008B6833"/>
    <w:rsid w:val="008D4776"/>
    <w:rsid w:val="009311F4"/>
    <w:rsid w:val="00933B68"/>
    <w:rsid w:val="00953719"/>
    <w:rsid w:val="009671D8"/>
    <w:rsid w:val="009830C7"/>
    <w:rsid w:val="00995264"/>
    <w:rsid w:val="00995834"/>
    <w:rsid w:val="00995B71"/>
    <w:rsid w:val="009E01A0"/>
    <w:rsid w:val="00A27BCF"/>
    <w:rsid w:val="00A30A6F"/>
    <w:rsid w:val="00A52927"/>
    <w:rsid w:val="00AA221C"/>
    <w:rsid w:val="00AD249A"/>
    <w:rsid w:val="00AE7065"/>
    <w:rsid w:val="00AF7124"/>
    <w:rsid w:val="00B55822"/>
    <w:rsid w:val="00C07187"/>
    <w:rsid w:val="00C55CC2"/>
    <w:rsid w:val="00CA442F"/>
    <w:rsid w:val="00D060A8"/>
    <w:rsid w:val="00D2014E"/>
    <w:rsid w:val="00DB3B4F"/>
    <w:rsid w:val="00E063A5"/>
    <w:rsid w:val="00E2010B"/>
    <w:rsid w:val="00E86E9B"/>
    <w:rsid w:val="00E921EC"/>
    <w:rsid w:val="00F05128"/>
    <w:rsid w:val="00F16C90"/>
    <w:rsid w:val="00F22A1E"/>
    <w:rsid w:val="00F6243E"/>
    <w:rsid w:val="00F803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D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441D9"/>
    <w:rPr>
      <w:color w:val="0000FF"/>
      <w:u w:val="single"/>
    </w:rPr>
  </w:style>
  <w:style w:type="paragraph" w:styleId="Encabezado">
    <w:name w:val="header"/>
    <w:basedOn w:val="Normal"/>
    <w:link w:val="EncabezadoCar"/>
    <w:uiPriority w:val="99"/>
    <w:semiHidden/>
    <w:unhideWhenUsed/>
    <w:rsid w:val="00E063A5"/>
    <w:pPr>
      <w:tabs>
        <w:tab w:val="center" w:pos="4252"/>
        <w:tab w:val="right" w:pos="8504"/>
      </w:tabs>
    </w:pPr>
  </w:style>
  <w:style w:type="character" w:customStyle="1" w:styleId="EncabezadoCar">
    <w:name w:val="Encabezado Car"/>
    <w:basedOn w:val="Fuentedeprrafopredeter"/>
    <w:link w:val="Encabezado"/>
    <w:uiPriority w:val="99"/>
    <w:semiHidden/>
    <w:rsid w:val="00E063A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063A5"/>
    <w:pPr>
      <w:tabs>
        <w:tab w:val="center" w:pos="4252"/>
        <w:tab w:val="right" w:pos="8504"/>
      </w:tabs>
    </w:pPr>
  </w:style>
  <w:style w:type="character" w:customStyle="1" w:styleId="PiedepginaCar">
    <w:name w:val="Pie de página Car"/>
    <w:basedOn w:val="Fuentedeprrafopredeter"/>
    <w:link w:val="Piedepgina"/>
    <w:uiPriority w:val="99"/>
    <w:rsid w:val="00E063A5"/>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A27B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76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chopen.com/books/modern-approaches-to-quality-control/analysis-of-mlpa-data-using-novel-software-coffalyser-net-by-mrc-holl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54F46-675C-4FCB-864D-4B16133C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sanchez cespedes</dc:creator>
  <cp:lastModifiedBy>montse sanchez cespedes</cp:lastModifiedBy>
  <cp:revision>56</cp:revision>
  <cp:lastPrinted>2014-12-09T13:10:00Z</cp:lastPrinted>
  <dcterms:created xsi:type="dcterms:W3CDTF">2014-11-06T13:36:00Z</dcterms:created>
  <dcterms:modified xsi:type="dcterms:W3CDTF">2014-12-21T11:25:00Z</dcterms:modified>
</cp:coreProperties>
</file>