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414A" w14:textId="77777777" w:rsidR="003113E1" w:rsidRPr="00C97A83" w:rsidRDefault="003113E1">
      <w:pPr>
        <w:rPr>
          <w:sz w:val="20"/>
        </w:rPr>
      </w:pPr>
    </w:p>
    <w:p w14:paraId="2F579BA9" w14:textId="77777777" w:rsidR="003113E1" w:rsidRPr="00CA772F" w:rsidRDefault="003113E1">
      <w:pPr>
        <w:rPr>
          <w:sz w:val="20"/>
        </w:rPr>
      </w:pPr>
    </w:p>
    <w:tbl>
      <w:tblPr>
        <w:tblpPr w:leftFromText="180" w:rightFromText="180" w:vertAnchor="text" w:tblpX="-90" w:tblpY="1"/>
        <w:tblOverlap w:val="never"/>
        <w:tblW w:w="829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298"/>
      </w:tblGrid>
      <w:tr w:rsidR="008804C4" w:rsidRPr="00CA772F" w14:paraId="3D50EC5E" w14:textId="77777777" w:rsidTr="003113E1">
        <w:trPr>
          <w:trHeight w:val="240"/>
        </w:trPr>
        <w:tc>
          <w:tcPr>
            <w:tcW w:w="8298" w:type="dxa"/>
          </w:tcPr>
          <w:p w14:paraId="4EFB6BD3" w14:textId="77777777" w:rsidR="00CA772F" w:rsidRDefault="00C97A83" w:rsidP="00CA772F">
            <w:pPr>
              <w:pStyle w:val="Default"/>
              <w:rPr>
                <w:sz w:val="18"/>
              </w:rPr>
            </w:pPr>
            <w:r>
              <w:rPr>
                <w:b/>
                <w:sz w:val="18"/>
              </w:rPr>
              <w:t xml:space="preserve">Supplemental </w:t>
            </w:r>
            <w:r w:rsidR="003113E1" w:rsidRPr="00CA772F">
              <w:rPr>
                <w:b/>
                <w:sz w:val="18"/>
              </w:rPr>
              <w:t xml:space="preserve">Table </w:t>
            </w:r>
            <w:r>
              <w:rPr>
                <w:b/>
                <w:sz w:val="18"/>
              </w:rPr>
              <w:t>S</w:t>
            </w:r>
            <w:bookmarkStart w:id="0" w:name="_GoBack"/>
            <w:bookmarkEnd w:id="0"/>
            <w:r w:rsidR="003113E1" w:rsidRPr="00CA772F">
              <w:rPr>
                <w:b/>
                <w:sz w:val="18"/>
              </w:rPr>
              <w:t xml:space="preserve">1. Ribavirin concentrations measured in mouse plasma. </w:t>
            </w:r>
            <w:r w:rsidR="003113E1" w:rsidRPr="00CA772F">
              <w:rPr>
                <w:sz w:val="18"/>
              </w:rPr>
              <w:t xml:space="preserve"> </w:t>
            </w:r>
          </w:p>
          <w:p w14:paraId="1E6457CB" w14:textId="77777777" w:rsidR="003113E1" w:rsidRDefault="003113E1" w:rsidP="00CA772F">
            <w:pPr>
              <w:pStyle w:val="Default"/>
              <w:rPr>
                <w:sz w:val="18"/>
              </w:rPr>
            </w:pPr>
            <w:r w:rsidRPr="00CA772F">
              <w:rPr>
                <w:sz w:val="18"/>
              </w:rPr>
              <w:t xml:space="preserve">Blood was </w:t>
            </w:r>
            <w:r w:rsidRPr="00CA772F">
              <w:rPr>
                <w:color w:val="auto"/>
                <w:sz w:val="18"/>
              </w:rPr>
              <w:t>drawn 1-2 hours</w:t>
            </w:r>
            <w:r w:rsidRPr="00CA772F">
              <w:rPr>
                <w:sz w:val="18"/>
              </w:rPr>
              <w:t xml:space="preserve"> post ribavirin administration (3 mg/mouse </w:t>
            </w:r>
            <w:r w:rsidRPr="00CA772F">
              <w:rPr>
                <w:i/>
                <w:sz w:val="18"/>
              </w:rPr>
              <w:t>p.o.</w:t>
            </w:r>
            <w:r w:rsidRPr="00CA772F">
              <w:rPr>
                <w:sz w:val="18"/>
              </w:rPr>
              <w:t xml:space="preserve">). </w:t>
            </w:r>
          </w:p>
          <w:p w14:paraId="0A88CDEE" w14:textId="77777777" w:rsidR="00CA772F" w:rsidRPr="00CA772F" w:rsidRDefault="00CA772F" w:rsidP="003113E1">
            <w:pPr>
              <w:pStyle w:val="Default"/>
              <w:rPr>
                <w:sz w:val="18"/>
              </w:rPr>
            </w:pPr>
          </w:p>
        </w:tc>
      </w:tr>
    </w:tbl>
    <w:tbl>
      <w:tblPr>
        <w:tblW w:w="6570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240"/>
      </w:tblGrid>
      <w:tr w:rsidR="00CA772F" w:rsidRPr="00CA772F" w14:paraId="47BE8847" w14:textId="77777777" w:rsidTr="00CA772F">
        <w:trPr>
          <w:trHeight w:val="23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14:paraId="6488A1DF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b/>
                <w:bCs/>
                <w:sz w:val="18"/>
                <w:szCs w:val="22"/>
              </w:rPr>
              <w:t xml:space="preserve">Sample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14:paraId="68B6CC0A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b/>
                <w:bCs/>
                <w:sz w:val="18"/>
                <w:szCs w:val="22"/>
              </w:rPr>
              <w:t>Ribavirin conc. (</w:t>
            </w:r>
            <w:proofErr w:type="spellStart"/>
            <w:r w:rsidRPr="00CA772F">
              <w:rPr>
                <w:b/>
                <w:bCs/>
                <w:sz w:val="18"/>
                <w:szCs w:val="22"/>
              </w:rPr>
              <w:t>nmol</w:t>
            </w:r>
            <w:proofErr w:type="spellEnd"/>
            <w:r w:rsidRPr="00CA772F">
              <w:rPr>
                <w:b/>
                <w:bCs/>
                <w:sz w:val="18"/>
                <w:szCs w:val="22"/>
              </w:rPr>
              <w:t>/L)</w:t>
            </w:r>
            <w:r w:rsidRPr="00CA772F">
              <w:rPr>
                <w:sz w:val="18"/>
                <w:szCs w:val="22"/>
              </w:rPr>
              <w:t xml:space="preserve"> </w:t>
            </w:r>
          </w:p>
        </w:tc>
      </w:tr>
      <w:tr w:rsidR="00CA772F" w:rsidRPr="00CA772F" w14:paraId="17690F1B" w14:textId="77777777" w:rsidTr="00CA772F">
        <w:trPr>
          <w:trHeight w:val="463"/>
        </w:trPr>
        <w:tc>
          <w:tcPr>
            <w:tcW w:w="33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37EF42A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FVB (non-tumor bearing) </w:t>
            </w:r>
          </w:p>
          <w:p w14:paraId="6869F06F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Control  #2878 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339B1DC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&lt; LLOQ* </w:t>
            </w:r>
          </w:p>
        </w:tc>
      </w:tr>
      <w:tr w:rsidR="00CA772F" w:rsidRPr="00CA772F" w14:paraId="21170CC7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752B8B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FVB (non-tumor bearing)</w:t>
            </w:r>
          </w:p>
          <w:p w14:paraId="0E1437D6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Ribavirin #2879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AEB308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41,003 </w:t>
            </w:r>
          </w:p>
        </w:tc>
      </w:tr>
      <w:tr w:rsidR="00CA772F" w:rsidRPr="00CA772F" w14:paraId="440F0951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C520417" w14:textId="77777777" w:rsid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FVB (non-tumor bearing) </w:t>
            </w:r>
          </w:p>
          <w:p w14:paraId="41739902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>Ribavirin  #2881</w:t>
            </w:r>
            <w:r w:rsidRPr="00CA772F">
              <w:rPr>
                <w:sz w:val="18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AC1B37A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23,474 </w:t>
            </w:r>
          </w:p>
        </w:tc>
      </w:tr>
      <w:tr w:rsidR="00CA772F" w:rsidRPr="00CA772F" w14:paraId="5ADEDC59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E53288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FVB (non-tumor bearing)</w:t>
            </w:r>
          </w:p>
          <w:p w14:paraId="66D05788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Ribavirin #2887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1BAEB39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39,837 </w:t>
            </w:r>
          </w:p>
        </w:tc>
      </w:tr>
      <w:tr w:rsidR="00CA772F" w:rsidRPr="00CA772F" w14:paraId="5A55BF22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2B818BA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Balb/c day 13 post injection of 66cl4 cells</w:t>
            </w:r>
          </w:p>
          <w:p w14:paraId="5B995B9B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Control  (pool of 5 mice)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55C2074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&lt; LLOQ </w:t>
            </w:r>
          </w:p>
        </w:tc>
      </w:tr>
      <w:tr w:rsidR="00CA772F" w:rsidRPr="00CA772F" w14:paraId="78EAFE8D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6924FA6" w14:textId="77777777" w:rsidR="00CA772F" w:rsidRPr="00CA772F" w:rsidRDefault="00CA772F" w:rsidP="00965DB6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Balb/c day 13 post injection of 66cl4 cells</w:t>
            </w:r>
          </w:p>
          <w:p w14:paraId="5606540B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Ribavirin  (pool of 5 mice)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BD30170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24,854**</w:t>
            </w:r>
          </w:p>
        </w:tc>
      </w:tr>
      <w:tr w:rsidR="00CA772F" w:rsidRPr="00CA772F" w14:paraId="5979B701" w14:textId="77777777" w:rsidTr="00CA772F">
        <w:trPr>
          <w:trHeight w:val="69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A345165" w14:textId="77777777" w:rsidR="00CA772F" w:rsidRPr="00CA772F" w:rsidRDefault="00CA772F" w:rsidP="00965DB6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Balb/c day 27 post injection of 66cl4 cells</w:t>
            </w:r>
          </w:p>
          <w:p w14:paraId="7423785D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Control  #10809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CD7E7A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&lt; LLOQ </w:t>
            </w:r>
          </w:p>
        </w:tc>
      </w:tr>
      <w:tr w:rsidR="00CA772F" w:rsidRPr="00CA772F" w14:paraId="2EBB751C" w14:textId="77777777" w:rsidTr="00CA772F">
        <w:trPr>
          <w:trHeight w:val="69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D6E9368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Balb/c day 27 post injection of 66cl4 cells</w:t>
            </w:r>
          </w:p>
          <w:p w14:paraId="0619C1CB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Ribavirin  #10808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52C4763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30,181 </w:t>
            </w:r>
          </w:p>
        </w:tc>
      </w:tr>
      <w:tr w:rsidR="00CA772F" w:rsidRPr="00CA772F" w14:paraId="4ECC82D5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888C56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>Balb/c day 27 post injection of 66cl4 cells</w:t>
            </w:r>
          </w:p>
          <w:p w14:paraId="597C9EED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Ribavirin  #10807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CE9C237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19,489 </w:t>
            </w:r>
          </w:p>
        </w:tc>
      </w:tr>
      <w:tr w:rsidR="00CA772F" w:rsidRPr="00CA772F" w14:paraId="699A9757" w14:textId="77777777" w:rsidTr="00CA772F">
        <w:trPr>
          <w:trHeight w:val="46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6C410D4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Balb/c day 27 post injection of 66cl4 cells </w:t>
            </w:r>
          </w:p>
          <w:p w14:paraId="7AC65A9F" w14:textId="77777777" w:rsidR="00CA772F" w:rsidRPr="00CA772F" w:rsidRDefault="00CA772F" w:rsidP="003113E1">
            <w:pPr>
              <w:pStyle w:val="Default"/>
              <w:rPr>
                <w:b/>
                <w:sz w:val="18"/>
                <w:szCs w:val="22"/>
              </w:rPr>
            </w:pPr>
            <w:r w:rsidRPr="00CA772F">
              <w:rPr>
                <w:b/>
                <w:sz w:val="18"/>
                <w:szCs w:val="22"/>
              </w:rPr>
              <w:t xml:space="preserve">Ribavirin  #10805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68F7C26" w14:textId="77777777" w:rsidR="00CA772F" w:rsidRPr="00CA772F" w:rsidRDefault="00CA772F" w:rsidP="003113E1">
            <w:pPr>
              <w:pStyle w:val="Default"/>
              <w:rPr>
                <w:sz w:val="18"/>
                <w:szCs w:val="22"/>
              </w:rPr>
            </w:pPr>
            <w:r w:rsidRPr="00CA772F">
              <w:rPr>
                <w:sz w:val="18"/>
                <w:szCs w:val="22"/>
              </w:rPr>
              <w:t xml:space="preserve">20,269 </w:t>
            </w:r>
          </w:p>
        </w:tc>
      </w:tr>
    </w:tbl>
    <w:p w14:paraId="6AACE721" w14:textId="77777777" w:rsidR="008804C4" w:rsidRPr="00CA772F" w:rsidRDefault="00521E5D" w:rsidP="00CA772F">
      <w:pPr>
        <w:pStyle w:val="Default"/>
        <w:spacing w:before="60"/>
        <w:rPr>
          <w:sz w:val="18"/>
          <w:szCs w:val="22"/>
        </w:rPr>
      </w:pPr>
      <w:r w:rsidRPr="00CA772F">
        <w:rPr>
          <w:sz w:val="18"/>
          <w:szCs w:val="22"/>
        </w:rPr>
        <w:t>*</w:t>
      </w:r>
      <w:r w:rsidR="00D82E55" w:rsidRPr="00CA772F">
        <w:rPr>
          <w:sz w:val="18"/>
          <w:szCs w:val="22"/>
        </w:rPr>
        <w:t xml:space="preserve">Lower limit of quantification = 137 </w:t>
      </w:r>
      <w:proofErr w:type="spellStart"/>
      <w:r w:rsidR="00D82E55" w:rsidRPr="00CA772F">
        <w:rPr>
          <w:sz w:val="18"/>
          <w:szCs w:val="22"/>
        </w:rPr>
        <w:t>nmol</w:t>
      </w:r>
      <w:proofErr w:type="spellEnd"/>
      <w:r w:rsidR="00D82E55" w:rsidRPr="00CA772F">
        <w:rPr>
          <w:sz w:val="18"/>
          <w:szCs w:val="22"/>
        </w:rPr>
        <w:t>/L</w:t>
      </w:r>
    </w:p>
    <w:p w14:paraId="062BC6DE" w14:textId="77777777" w:rsidR="00521E5D" w:rsidRPr="00CA772F" w:rsidRDefault="003113E1" w:rsidP="00CA772F">
      <w:pPr>
        <w:pStyle w:val="Default"/>
        <w:rPr>
          <w:sz w:val="18"/>
          <w:szCs w:val="22"/>
        </w:rPr>
      </w:pPr>
      <w:r w:rsidRPr="00CA772F">
        <w:rPr>
          <w:sz w:val="18"/>
          <w:szCs w:val="22"/>
        </w:rPr>
        <w:t>**</w:t>
      </w:r>
      <w:r w:rsidR="00521E5D" w:rsidRPr="00CA772F">
        <w:rPr>
          <w:sz w:val="18"/>
          <w:szCs w:val="22"/>
        </w:rPr>
        <w:t xml:space="preserve">Sample caused ion suppression of internal standard and may not be accurate </w:t>
      </w:r>
    </w:p>
    <w:p w14:paraId="5878D903" w14:textId="77777777" w:rsidR="00521E5D" w:rsidRPr="00CA772F" w:rsidRDefault="00521E5D" w:rsidP="008804C4">
      <w:pPr>
        <w:pStyle w:val="Default"/>
        <w:rPr>
          <w:rFonts w:asciiTheme="minorHAnsi" w:hAnsiTheme="minorHAnsi"/>
          <w:sz w:val="20"/>
          <w:vertAlign w:val="subscript"/>
        </w:rPr>
      </w:pPr>
    </w:p>
    <w:p w14:paraId="2F2A21EE" w14:textId="77777777" w:rsidR="008804C4" w:rsidRPr="00CA772F" w:rsidRDefault="008804C4" w:rsidP="008804C4">
      <w:pPr>
        <w:pStyle w:val="Default"/>
        <w:rPr>
          <w:color w:val="auto"/>
          <w:sz w:val="20"/>
        </w:rPr>
      </w:pPr>
    </w:p>
    <w:p w14:paraId="7E647921" w14:textId="77777777" w:rsidR="00214E19" w:rsidRPr="00CA772F" w:rsidRDefault="00214E19" w:rsidP="008804C4">
      <w:pPr>
        <w:tabs>
          <w:tab w:val="left" w:pos="1440"/>
          <w:tab w:val="left" w:pos="2880"/>
        </w:tabs>
        <w:rPr>
          <w:sz w:val="20"/>
        </w:rPr>
      </w:pPr>
    </w:p>
    <w:sectPr w:rsidR="00214E19" w:rsidRPr="00CA772F" w:rsidSect="00CA772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4C4"/>
    <w:rsid w:val="000532B5"/>
    <w:rsid w:val="000C4C98"/>
    <w:rsid w:val="000E7665"/>
    <w:rsid w:val="00107317"/>
    <w:rsid w:val="001B227F"/>
    <w:rsid w:val="001D01AB"/>
    <w:rsid w:val="00214E19"/>
    <w:rsid w:val="00307538"/>
    <w:rsid w:val="003113E1"/>
    <w:rsid w:val="0035480B"/>
    <w:rsid w:val="00387E86"/>
    <w:rsid w:val="0044319C"/>
    <w:rsid w:val="00521E5D"/>
    <w:rsid w:val="005C562D"/>
    <w:rsid w:val="005F1E09"/>
    <w:rsid w:val="007A4A13"/>
    <w:rsid w:val="008804C4"/>
    <w:rsid w:val="008E4461"/>
    <w:rsid w:val="008E63FF"/>
    <w:rsid w:val="0095581E"/>
    <w:rsid w:val="00965DB6"/>
    <w:rsid w:val="00B10EE4"/>
    <w:rsid w:val="00B14E06"/>
    <w:rsid w:val="00B23F78"/>
    <w:rsid w:val="00BD0325"/>
    <w:rsid w:val="00C97A83"/>
    <w:rsid w:val="00CA772F"/>
    <w:rsid w:val="00D244B1"/>
    <w:rsid w:val="00D51F33"/>
    <w:rsid w:val="00D82E55"/>
    <w:rsid w:val="00DD294E"/>
    <w:rsid w:val="00DE2415"/>
    <w:rsid w:val="00F7369B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BD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B"/>
    <w:pPr>
      <w:spacing w:before="120" w:after="120" w:line="240" w:lineRule="auto"/>
      <w:jc w:val="both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01AB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01AB"/>
    <w:pPr>
      <w:keepNext/>
      <w:spacing w:before="240" w:after="60"/>
      <w:outlineLvl w:val="1"/>
    </w:pPr>
    <w:rPr>
      <w:rFonts w:eastAsiaTheme="majorEastAsia" w:cstheme="majorBidi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1AB"/>
    <w:rPr>
      <w:rFonts w:ascii="Cambria" w:eastAsiaTheme="majorEastAsia" w:hAnsi="Cambri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1AB"/>
    <w:rPr>
      <w:rFonts w:asciiTheme="minorHAnsi" w:eastAsiaTheme="majorEastAsia" w:hAnsiTheme="minorHAnsi" w:cstheme="majorBidi"/>
      <w:b/>
      <w:bCs/>
      <w:iCs/>
      <w:sz w:val="26"/>
      <w:szCs w:val="28"/>
    </w:rPr>
  </w:style>
  <w:style w:type="table" w:styleId="TableGrid">
    <w:name w:val="Table Grid"/>
    <w:basedOn w:val="TableNormal"/>
    <w:uiPriority w:val="59"/>
    <w:rsid w:val="0088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80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8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880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8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7E86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</dc:creator>
  <cp:keywords/>
  <dc:description/>
  <cp:lastModifiedBy>Filippa Pettersson</cp:lastModifiedBy>
  <cp:revision>3</cp:revision>
  <dcterms:created xsi:type="dcterms:W3CDTF">2014-12-09T17:59:00Z</dcterms:created>
  <dcterms:modified xsi:type="dcterms:W3CDTF">2014-12-12T15:17:00Z</dcterms:modified>
</cp:coreProperties>
</file>