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BBCB" w14:textId="382AE0C9" w:rsidR="00AB465B" w:rsidRPr="004C08B1" w:rsidRDefault="00C93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Supplementary Material</w:t>
      </w:r>
      <w:r w:rsidR="004C08B1" w:rsidRPr="004C08B1">
        <w:rPr>
          <w:b/>
          <w:sz w:val="28"/>
          <w:szCs w:val="28"/>
        </w:rPr>
        <w:t>s</w:t>
      </w:r>
      <w:r w:rsidR="001939E5">
        <w:rPr>
          <w:b/>
          <w:sz w:val="28"/>
          <w:szCs w:val="28"/>
        </w:rPr>
        <w:t xml:space="preserve"> and Methods</w:t>
      </w:r>
      <w:bookmarkStart w:id="0" w:name="_GoBack"/>
      <w:bookmarkEnd w:id="0"/>
    </w:p>
    <w:p w14:paraId="2C56186A" w14:textId="77777777" w:rsidR="004C08B1" w:rsidRDefault="004C08B1"/>
    <w:p w14:paraId="7DF360C9" w14:textId="77777777" w:rsidR="004C08B1" w:rsidRDefault="004C08B1"/>
    <w:p w14:paraId="7CD50DC1" w14:textId="5726E908" w:rsidR="004C08B1" w:rsidRPr="004C08B1" w:rsidRDefault="004C08B1" w:rsidP="004C08B1">
      <w:pPr>
        <w:pStyle w:val="NormalWeb"/>
        <w:tabs>
          <w:tab w:val="left" w:pos="720"/>
        </w:tabs>
        <w:spacing w:before="0" w:beforeAutospacing="0" w:after="0" w:afterAutospacing="0" w:line="480" w:lineRule="auto"/>
        <w:jc w:val="both"/>
        <w:outlineLvl w:val="0"/>
        <w:rPr>
          <w:rFonts w:ascii="Times New Roman" w:hAnsi="Times New Roman"/>
          <w:sz w:val="24"/>
          <w:u w:val="single"/>
        </w:rPr>
      </w:pPr>
      <w:r w:rsidRPr="004C08B1">
        <w:rPr>
          <w:rFonts w:ascii="Times New Roman" w:hAnsi="Times New Roman"/>
          <w:b/>
          <w:bCs/>
          <w:iCs/>
          <w:sz w:val="24"/>
          <w:u w:val="single"/>
        </w:rPr>
        <w:t>Double-label IHC and Neutralization</w:t>
      </w:r>
      <w:r w:rsidR="00C930BE">
        <w:rPr>
          <w:rFonts w:ascii="Times New Roman" w:hAnsi="Times New Roman"/>
          <w:b/>
          <w:bCs/>
          <w:iCs/>
          <w:sz w:val="24"/>
          <w:u w:val="single"/>
        </w:rPr>
        <w:t xml:space="preserve"> : Detailed Information on the antibodies used  in this study</w:t>
      </w:r>
      <w:r w:rsidR="009A2865">
        <w:rPr>
          <w:rFonts w:ascii="Times New Roman" w:hAnsi="Times New Roman"/>
          <w:b/>
          <w:bCs/>
          <w:iCs/>
          <w:sz w:val="24"/>
          <w:u w:val="single"/>
        </w:rPr>
        <w:t xml:space="preserve"> </w:t>
      </w:r>
    </w:p>
    <w:p w14:paraId="147DA65E" w14:textId="77777777" w:rsidR="004C08B1" w:rsidRPr="004C08B1" w:rsidRDefault="004C08B1" w:rsidP="004C08B1">
      <w:pPr>
        <w:pStyle w:val="NormalWeb"/>
        <w:tabs>
          <w:tab w:val="left" w:pos="720"/>
        </w:tabs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</w:rPr>
      </w:pPr>
      <w:r w:rsidRPr="004C08B1">
        <w:rPr>
          <w:rFonts w:ascii="Times New Roman" w:hAnsi="Times New Roman"/>
          <w:sz w:val="24"/>
        </w:rPr>
        <w:t xml:space="preserve">These studies used cell-specific antibodies against surfactant </w:t>
      </w:r>
      <w:proofErr w:type="spellStart"/>
      <w:r w:rsidRPr="004C08B1">
        <w:rPr>
          <w:rFonts w:ascii="Times New Roman" w:hAnsi="Times New Roman"/>
          <w:sz w:val="24"/>
        </w:rPr>
        <w:t>apoprotein</w:t>
      </w:r>
      <w:proofErr w:type="spellEnd"/>
      <w:r w:rsidRPr="004C08B1">
        <w:rPr>
          <w:rFonts w:ascii="Times New Roman" w:hAnsi="Times New Roman"/>
          <w:sz w:val="24"/>
        </w:rPr>
        <w:t xml:space="preserve"> C (SP-C, for alveolar type 2 cells) (</w:t>
      </w:r>
      <w:r w:rsidRPr="004C08B1">
        <w:rPr>
          <w:rFonts w:ascii="Times New Roman" w:eastAsia="Times New Roman" w:hAnsi="Times New Roman"/>
          <w:sz w:val="24"/>
        </w:rPr>
        <w:t xml:space="preserve">Millipore, </w:t>
      </w:r>
      <w:r w:rsidRPr="004C08B1">
        <w:rPr>
          <w:rFonts w:ascii="Times New Roman" w:eastAsia="Times New Roman" w:hAnsi="Times New Roman"/>
          <w:bCs/>
          <w:sz w:val="24"/>
        </w:rPr>
        <w:t>Billerica, MA</w:t>
      </w:r>
      <w:r w:rsidRPr="004C08B1">
        <w:rPr>
          <w:rFonts w:ascii="Times New Roman" w:hAnsi="Times New Roman"/>
          <w:sz w:val="24"/>
        </w:rPr>
        <w:t xml:space="preserve">), Clara Cell 10 </w:t>
      </w:r>
      <w:proofErr w:type="spellStart"/>
      <w:r w:rsidRPr="004C08B1">
        <w:rPr>
          <w:rFonts w:ascii="Times New Roman" w:hAnsi="Times New Roman"/>
          <w:sz w:val="24"/>
        </w:rPr>
        <w:t>kDa</w:t>
      </w:r>
      <w:proofErr w:type="spellEnd"/>
      <w:r w:rsidRPr="004C08B1">
        <w:rPr>
          <w:rFonts w:ascii="Times New Roman" w:hAnsi="Times New Roman"/>
          <w:sz w:val="24"/>
        </w:rPr>
        <w:t xml:space="preserve"> Surfactant Protein (CCSP, for airway epithelial cells) (</w:t>
      </w:r>
      <w:r w:rsidRPr="004C08B1">
        <w:rPr>
          <w:rFonts w:ascii="Times New Roman" w:eastAsia="Times New Roman" w:hAnsi="Times New Roman"/>
          <w:sz w:val="24"/>
        </w:rPr>
        <w:t xml:space="preserve">Santa Cruz Biotechnology, </w:t>
      </w:r>
      <w:proofErr w:type="spellStart"/>
      <w:r w:rsidRPr="004C08B1">
        <w:rPr>
          <w:rFonts w:ascii="Times New Roman" w:eastAsia="Times New Roman" w:hAnsi="Times New Roman"/>
          <w:sz w:val="24"/>
        </w:rPr>
        <w:t>Inc</w:t>
      </w:r>
      <w:proofErr w:type="spellEnd"/>
      <w:r w:rsidRPr="004C08B1">
        <w:rPr>
          <w:rFonts w:ascii="Times New Roman" w:eastAsia="Times New Roman" w:hAnsi="Times New Roman"/>
          <w:sz w:val="24"/>
        </w:rPr>
        <w:t>, Santa Cruz, CA</w:t>
      </w:r>
      <w:r w:rsidRPr="004C08B1">
        <w:rPr>
          <w:rFonts w:ascii="Times New Roman" w:hAnsi="Times New Roman"/>
          <w:sz w:val="24"/>
        </w:rPr>
        <w:t>), and F4/80 (for macrophages) (</w:t>
      </w:r>
      <w:proofErr w:type="spellStart"/>
      <w:r w:rsidRPr="004C08B1">
        <w:rPr>
          <w:rFonts w:ascii="Times New Roman" w:eastAsia="Times New Roman" w:hAnsi="Times New Roman"/>
          <w:sz w:val="24"/>
        </w:rPr>
        <w:t>eBioscience</w:t>
      </w:r>
      <w:proofErr w:type="spellEnd"/>
      <w:r w:rsidRPr="004C08B1">
        <w:rPr>
          <w:rFonts w:ascii="Times New Roman" w:eastAsia="Times New Roman" w:hAnsi="Times New Roman"/>
          <w:sz w:val="24"/>
        </w:rPr>
        <w:t>, San Diego, CA</w:t>
      </w:r>
      <w:r w:rsidRPr="004C08B1">
        <w:rPr>
          <w:rFonts w:ascii="Times New Roman" w:hAnsi="Times New Roman"/>
          <w:sz w:val="24"/>
        </w:rPr>
        <w:t xml:space="preserve">), and antibodies against Chi3l1/BRP-39 (Medimmune, </w:t>
      </w:r>
      <w:r w:rsidRPr="004C08B1">
        <w:rPr>
          <w:rFonts w:ascii="Times New Roman" w:eastAsia="Times New Roman" w:hAnsi="Times New Roman"/>
          <w:sz w:val="24"/>
        </w:rPr>
        <w:t>Gaithersburg, MD</w:t>
      </w:r>
      <w:r w:rsidRPr="004C08B1">
        <w:rPr>
          <w:rFonts w:ascii="Times New Roman" w:hAnsi="Times New Roman"/>
          <w:sz w:val="24"/>
        </w:rPr>
        <w:t>) and Sema7a  (</w:t>
      </w:r>
      <w:proofErr w:type="spellStart"/>
      <w:r w:rsidRPr="004C08B1">
        <w:rPr>
          <w:rFonts w:ascii="Times New Roman" w:hAnsi="Times New Roman"/>
          <w:sz w:val="24"/>
        </w:rPr>
        <w:t>Abcam</w:t>
      </w:r>
      <w:proofErr w:type="spellEnd"/>
      <w:r w:rsidRPr="004C08B1">
        <w:rPr>
          <w:rFonts w:ascii="Times New Roman" w:hAnsi="Times New Roman"/>
          <w:sz w:val="24"/>
        </w:rPr>
        <w:t xml:space="preserve">, </w:t>
      </w:r>
      <w:proofErr w:type="spellStart"/>
      <w:r w:rsidRPr="004C08B1">
        <w:rPr>
          <w:rFonts w:ascii="Times New Roman" w:hAnsi="Times New Roman"/>
          <w:sz w:val="24"/>
        </w:rPr>
        <w:t>Inc</w:t>
      </w:r>
      <w:proofErr w:type="spellEnd"/>
      <w:r w:rsidRPr="004C08B1">
        <w:rPr>
          <w:rFonts w:ascii="Times New Roman" w:hAnsi="Times New Roman"/>
          <w:sz w:val="24"/>
        </w:rPr>
        <w:t xml:space="preserve">, Cambridge, MA). The neutralizing antibodies used in these studies were purchased from Invitrogen Life Tech, </w:t>
      </w:r>
      <w:proofErr w:type="spellStart"/>
      <w:r w:rsidRPr="004C08B1">
        <w:rPr>
          <w:rFonts w:ascii="Times New Roman" w:hAnsi="Times New Roman"/>
          <w:sz w:val="24"/>
        </w:rPr>
        <w:t>Cartsbad</w:t>
      </w:r>
      <w:proofErr w:type="spellEnd"/>
      <w:r w:rsidRPr="004C08B1">
        <w:rPr>
          <w:rFonts w:ascii="Times New Roman" w:hAnsi="Times New Roman"/>
          <w:sz w:val="24"/>
        </w:rPr>
        <w:t>, CA</w:t>
      </w:r>
      <w:r w:rsidRPr="004C08B1">
        <w:rPr>
          <w:rFonts w:ascii="Times New Roman" w:eastAsia="Times New Roman" w:hAnsi="Times New Roman"/>
          <w:sz w:val="24"/>
        </w:rPr>
        <w:t xml:space="preserve"> (Chi3l1/BRP-39), </w:t>
      </w:r>
      <w:proofErr w:type="spellStart"/>
      <w:r w:rsidRPr="004C08B1">
        <w:rPr>
          <w:rFonts w:ascii="Times New Roman" w:eastAsia="Times New Roman" w:hAnsi="Times New Roman"/>
          <w:sz w:val="24"/>
        </w:rPr>
        <w:t>Biolegend</w:t>
      </w:r>
      <w:proofErr w:type="spellEnd"/>
      <w:r w:rsidRPr="004C08B1">
        <w:rPr>
          <w:rFonts w:ascii="Times New Roman" w:eastAsia="Times New Roman" w:hAnsi="Times New Roman"/>
          <w:sz w:val="24"/>
        </w:rPr>
        <w:t xml:space="preserve"> San Diego, CA (</w:t>
      </w:r>
      <w:r w:rsidRPr="004C08B1">
        <w:rPr>
          <w:rFonts w:ascii="Times New Roman" w:hAnsi="Times New Roman"/>
          <w:sz w:val="24"/>
        </w:rPr>
        <w:sym w:font="Symbol" w:char="F062"/>
      </w:r>
      <w:r w:rsidRPr="004C08B1">
        <w:rPr>
          <w:rFonts w:ascii="Times New Roman" w:hAnsi="Times New Roman"/>
          <w:sz w:val="24"/>
        </w:rPr>
        <w:t xml:space="preserve">1-integrin; </w:t>
      </w:r>
      <w:r w:rsidRPr="004C08B1">
        <w:rPr>
          <w:rFonts w:ascii="Times New Roman" w:hAnsi="Times New Roman"/>
          <w:sz w:val="24"/>
        </w:rPr>
        <w:t xml:space="preserve">3 integrin), </w:t>
      </w:r>
      <w:proofErr w:type="spellStart"/>
      <w:r w:rsidRPr="004C08B1">
        <w:rPr>
          <w:rFonts w:ascii="Times New Roman" w:hAnsi="Times New Roman"/>
          <w:sz w:val="24"/>
        </w:rPr>
        <w:t>Abcam</w:t>
      </w:r>
      <w:proofErr w:type="spellEnd"/>
      <w:r w:rsidRPr="004C08B1">
        <w:rPr>
          <w:rFonts w:ascii="Times New Roman" w:hAnsi="Times New Roman"/>
          <w:sz w:val="24"/>
        </w:rPr>
        <w:t xml:space="preserve">, </w:t>
      </w:r>
      <w:proofErr w:type="spellStart"/>
      <w:r w:rsidRPr="004C08B1">
        <w:rPr>
          <w:rFonts w:ascii="Times New Roman" w:hAnsi="Times New Roman"/>
          <w:sz w:val="24"/>
        </w:rPr>
        <w:t>Inc</w:t>
      </w:r>
      <w:proofErr w:type="spellEnd"/>
      <w:r w:rsidRPr="004C08B1">
        <w:rPr>
          <w:rFonts w:ascii="Times New Roman" w:hAnsi="Times New Roman"/>
          <w:sz w:val="24"/>
        </w:rPr>
        <w:t>, Cambridge, MA (</w:t>
      </w:r>
      <w:r w:rsidRPr="004C08B1">
        <w:rPr>
          <w:rFonts w:ascii="Times New Roman" w:hAnsi="Times New Roman"/>
          <w:sz w:val="24"/>
        </w:rPr>
        <w:sym w:font="Symbol" w:char="F061"/>
      </w:r>
      <w:r w:rsidRPr="004C08B1">
        <w:rPr>
          <w:rFonts w:ascii="Times New Roman" w:hAnsi="Times New Roman"/>
          <w:sz w:val="24"/>
        </w:rPr>
        <w:t>v-integrin), Santa Cruz Bio, Santa Cruz, CA (</w:t>
      </w:r>
      <w:r w:rsidRPr="004C08B1">
        <w:rPr>
          <w:rFonts w:ascii="Times New Roman" w:hAnsi="Times New Roman"/>
          <w:sz w:val="24"/>
        </w:rPr>
        <w:sym w:font="Symbol" w:char="F061"/>
      </w:r>
      <w:r w:rsidRPr="004C08B1">
        <w:rPr>
          <w:rFonts w:ascii="Times New Roman" w:hAnsi="Times New Roman"/>
          <w:sz w:val="24"/>
        </w:rPr>
        <w:t xml:space="preserve">1-integrin) and R&amp;D Systems, Minneapolis, MN (Sema7a-Fc, </w:t>
      </w:r>
      <w:proofErr w:type="spellStart"/>
      <w:r w:rsidRPr="004C08B1">
        <w:rPr>
          <w:rFonts w:ascii="Times New Roman" w:hAnsi="Times New Roman"/>
          <w:sz w:val="24"/>
        </w:rPr>
        <w:t>Plexin</w:t>
      </w:r>
      <w:proofErr w:type="spellEnd"/>
      <w:r w:rsidRPr="004C08B1">
        <w:rPr>
          <w:rFonts w:ascii="Times New Roman" w:hAnsi="Times New Roman"/>
          <w:sz w:val="24"/>
        </w:rPr>
        <w:t xml:space="preserve"> C1). Rabbit polyclonal antibodies against LIMK2 and phosphorylated </w:t>
      </w:r>
      <w:proofErr w:type="spellStart"/>
      <w:r w:rsidRPr="004C08B1">
        <w:rPr>
          <w:rFonts w:ascii="Times New Roman" w:hAnsi="Times New Roman"/>
          <w:sz w:val="24"/>
        </w:rPr>
        <w:t>Cofilin</w:t>
      </w:r>
      <w:proofErr w:type="spellEnd"/>
      <w:r w:rsidRPr="004C08B1">
        <w:rPr>
          <w:rFonts w:ascii="Times New Roman" w:hAnsi="Times New Roman"/>
          <w:sz w:val="24"/>
        </w:rPr>
        <w:t xml:space="preserve"> were from Santa Cruz Biotechnology and Cell signaling Technology (Danvers, MA), respectively.</w:t>
      </w:r>
    </w:p>
    <w:p w14:paraId="3364245D" w14:textId="77777777" w:rsidR="004C08B1" w:rsidRPr="004C08B1" w:rsidRDefault="004C08B1" w:rsidP="004C08B1">
      <w:pPr>
        <w:pStyle w:val="NormalWeb"/>
        <w:tabs>
          <w:tab w:val="left" w:pos="720"/>
        </w:tabs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sz w:val="24"/>
        </w:rPr>
      </w:pPr>
    </w:p>
    <w:p w14:paraId="5BFC5847" w14:textId="32CBA4EF" w:rsidR="004C08B1" w:rsidRPr="004C08B1" w:rsidRDefault="004C08B1" w:rsidP="00A0027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C08B1" w:rsidRPr="004C08B1" w:rsidSect="008006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C08B1"/>
    <w:rsid w:val="00001023"/>
    <w:rsid w:val="00124A8D"/>
    <w:rsid w:val="001939E5"/>
    <w:rsid w:val="004C08B1"/>
    <w:rsid w:val="00732EFE"/>
    <w:rsid w:val="007341F1"/>
    <w:rsid w:val="0080065F"/>
    <w:rsid w:val="008C507F"/>
    <w:rsid w:val="009A2865"/>
    <w:rsid w:val="00A00274"/>
    <w:rsid w:val="00A870D1"/>
    <w:rsid w:val="00AB465B"/>
    <w:rsid w:val="00C930BE"/>
    <w:rsid w:val="00D575C2"/>
    <w:rsid w:val="00E807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34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8B1"/>
    <w:pPr>
      <w:spacing w:before="100" w:beforeAutospacing="1" w:after="100" w:afterAutospacing="1"/>
    </w:pPr>
    <w:rPr>
      <w:rFonts w:ascii="Times" w:eastAsiaTheme="minorHAnsi" w:hAnsi="Times" w:cs="Times New Roman"/>
      <w:sz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C08B1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C08B1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C08B1"/>
    <w:rPr>
      <w:rFonts w:ascii="Lucida Grande" w:eastAsia="Cambria" w:hAnsi="Lucida Grande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4C08B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C08B1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8B1"/>
    <w:pPr>
      <w:spacing w:before="100" w:beforeAutospacing="1" w:after="100" w:afterAutospacing="1"/>
    </w:pPr>
    <w:rPr>
      <w:rFonts w:ascii="Times" w:eastAsiaTheme="minorHAnsi" w:hAnsi="Times" w:cs="Times New Roman"/>
      <w:sz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C08B1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C08B1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C08B1"/>
    <w:rPr>
      <w:rFonts w:ascii="Lucida Grande" w:eastAsia="Cambria" w:hAnsi="Lucida Grande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4C08B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C08B1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Company>Yale University School of Medicine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Geun Lee</dc:creator>
  <cp:keywords/>
  <dc:description/>
  <cp:lastModifiedBy>Chun Lee</cp:lastModifiedBy>
  <cp:revision>4</cp:revision>
  <dcterms:created xsi:type="dcterms:W3CDTF">2014-09-16T02:57:00Z</dcterms:created>
  <dcterms:modified xsi:type="dcterms:W3CDTF">2014-12-02T20:40:00Z</dcterms:modified>
</cp:coreProperties>
</file>