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A5A5" w14:textId="77777777" w:rsidR="00541A80" w:rsidRPr="00844D3A" w:rsidRDefault="00541A80" w:rsidP="00541A80">
      <w:pPr>
        <w:jc w:val="center"/>
        <w:rPr>
          <w:rFonts w:cs="Calibri"/>
          <w:b/>
          <w:sz w:val="32"/>
          <w:szCs w:val="32"/>
        </w:rPr>
      </w:pPr>
    </w:p>
    <w:p w14:paraId="2D867738" w14:textId="77777777" w:rsidR="00541A80" w:rsidRPr="00844D3A" w:rsidRDefault="00541A80" w:rsidP="00541A80">
      <w:pPr>
        <w:jc w:val="center"/>
        <w:rPr>
          <w:rFonts w:cs="Calibri"/>
          <w:b/>
          <w:sz w:val="32"/>
          <w:szCs w:val="32"/>
        </w:rPr>
      </w:pPr>
    </w:p>
    <w:p w14:paraId="1A9875BD" w14:textId="63C5CAAE" w:rsidR="00541A80" w:rsidRPr="00844D3A" w:rsidRDefault="00541A80" w:rsidP="00541A80">
      <w:pPr>
        <w:jc w:val="center"/>
        <w:rPr>
          <w:b/>
          <w:sz w:val="32"/>
          <w:szCs w:val="32"/>
        </w:rPr>
      </w:pPr>
      <w:r w:rsidRPr="00844D3A">
        <w:rPr>
          <w:rFonts w:cs="Calibri"/>
          <w:b/>
          <w:sz w:val="32"/>
          <w:szCs w:val="32"/>
        </w:rPr>
        <w:t>Targeting eIF4G1 with SBI-0640756</w:t>
      </w:r>
      <w:r w:rsidR="0064330E" w:rsidRPr="00844D3A">
        <w:rPr>
          <w:rFonts w:cs="Calibri"/>
          <w:b/>
          <w:sz w:val="32"/>
          <w:szCs w:val="32"/>
        </w:rPr>
        <w:t xml:space="preserve"> in </w:t>
      </w:r>
      <w:r w:rsidRPr="00844D3A">
        <w:rPr>
          <w:rFonts w:cs="Calibri"/>
          <w:b/>
          <w:sz w:val="32"/>
          <w:szCs w:val="32"/>
        </w:rPr>
        <w:t xml:space="preserve">drug resistance and clinically unresponsive melanomas </w:t>
      </w:r>
    </w:p>
    <w:p w14:paraId="65E997B1" w14:textId="77777777" w:rsidR="00541A80" w:rsidRPr="00844D3A" w:rsidRDefault="00541A80" w:rsidP="00541A80">
      <w:pPr>
        <w:rPr>
          <w:sz w:val="36"/>
          <w:szCs w:val="36"/>
        </w:rPr>
      </w:pPr>
    </w:p>
    <w:p w14:paraId="4D6D5ECE" w14:textId="77777777" w:rsidR="00541A80" w:rsidRPr="00844D3A" w:rsidRDefault="00541A80" w:rsidP="00541A80">
      <w:pPr>
        <w:widowControl w:val="0"/>
        <w:autoSpaceDE w:val="0"/>
        <w:autoSpaceDN w:val="0"/>
        <w:adjustRightInd w:val="0"/>
        <w:spacing w:line="480" w:lineRule="auto"/>
        <w:jc w:val="center"/>
        <w:rPr>
          <w:b/>
          <w:sz w:val="36"/>
          <w:szCs w:val="36"/>
        </w:rPr>
      </w:pPr>
    </w:p>
    <w:p w14:paraId="77DAE830" w14:textId="77777777" w:rsidR="00CF5960" w:rsidRPr="00844D3A" w:rsidRDefault="00CF5960" w:rsidP="00541A80">
      <w:pPr>
        <w:widowControl w:val="0"/>
        <w:autoSpaceDE w:val="0"/>
        <w:autoSpaceDN w:val="0"/>
        <w:adjustRightInd w:val="0"/>
        <w:spacing w:line="480" w:lineRule="auto"/>
        <w:jc w:val="center"/>
        <w:rPr>
          <w:b/>
          <w:sz w:val="36"/>
          <w:szCs w:val="36"/>
        </w:rPr>
      </w:pPr>
    </w:p>
    <w:p w14:paraId="240A7419" w14:textId="77777777" w:rsidR="00CF5960" w:rsidRPr="00844D3A" w:rsidRDefault="00CF5960" w:rsidP="00541A80">
      <w:pPr>
        <w:widowControl w:val="0"/>
        <w:autoSpaceDE w:val="0"/>
        <w:autoSpaceDN w:val="0"/>
        <w:adjustRightInd w:val="0"/>
        <w:spacing w:line="480" w:lineRule="auto"/>
        <w:jc w:val="center"/>
        <w:rPr>
          <w:b/>
          <w:sz w:val="36"/>
          <w:szCs w:val="36"/>
        </w:rPr>
      </w:pPr>
    </w:p>
    <w:p w14:paraId="4014A3E5" w14:textId="77777777" w:rsidR="00541A80" w:rsidRPr="00844D3A" w:rsidRDefault="00541A80" w:rsidP="00541A80">
      <w:pPr>
        <w:widowControl w:val="0"/>
        <w:autoSpaceDE w:val="0"/>
        <w:autoSpaceDN w:val="0"/>
        <w:adjustRightInd w:val="0"/>
        <w:spacing w:line="480" w:lineRule="auto"/>
        <w:jc w:val="center"/>
        <w:rPr>
          <w:b/>
          <w:sz w:val="36"/>
          <w:szCs w:val="36"/>
        </w:rPr>
      </w:pPr>
      <w:r w:rsidRPr="00844D3A">
        <w:rPr>
          <w:b/>
          <w:sz w:val="36"/>
          <w:szCs w:val="36"/>
        </w:rPr>
        <w:t>Supplemental Material and Methods</w:t>
      </w:r>
    </w:p>
    <w:p w14:paraId="72E06699" w14:textId="77777777" w:rsidR="00541A80" w:rsidRPr="00844D3A" w:rsidRDefault="00541A80" w:rsidP="00541A80">
      <w:pPr>
        <w:rPr>
          <w:sz w:val="36"/>
          <w:szCs w:val="36"/>
        </w:rPr>
      </w:pPr>
    </w:p>
    <w:p w14:paraId="25CCF6B1" w14:textId="77777777" w:rsidR="00541A80" w:rsidRPr="00844D3A" w:rsidRDefault="00541A80" w:rsidP="00541A80">
      <w:pPr>
        <w:widowControl w:val="0"/>
        <w:autoSpaceDE w:val="0"/>
        <w:autoSpaceDN w:val="0"/>
        <w:adjustRightInd w:val="0"/>
        <w:spacing w:line="480" w:lineRule="auto"/>
        <w:rPr>
          <w:b/>
        </w:rPr>
      </w:pPr>
    </w:p>
    <w:p w14:paraId="4320A890" w14:textId="77777777" w:rsidR="00541A80" w:rsidRPr="00844D3A" w:rsidRDefault="00541A80" w:rsidP="00541A80">
      <w:pPr>
        <w:widowControl w:val="0"/>
        <w:autoSpaceDE w:val="0"/>
        <w:autoSpaceDN w:val="0"/>
        <w:adjustRightInd w:val="0"/>
        <w:spacing w:line="480" w:lineRule="auto"/>
        <w:rPr>
          <w:b/>
        </w:rPr>
      </w:pPr>
    </w:p>
    <w:p w14:paraId="56EF61FF" w14:textId="77777777" w:rsidR="00541A80" w:rsidRPr="00844D3A" w:rsidRDefault="00541A80">
      <w:pPr>
        <w:rPr>
          <w:b/>
        </w:rPr>
      </w:pPr>
      <w:r w:rsidRPr="00844D3A">
        <w:rPr>
          <w:b/>
        </w:rPr>
        <w:br w:type="page"/>
      </w:r>
    </w:p>
    <w:p w14:paraId="6BC14CCC" w14:textId="77777777" w:rsidR="0064330E" w:rsidRPr="00844D3A" w:rsidRDefault="0064330E" w:rsidP="0064330E">
      <w:pPr>
        <w:widowControl w:val="0"/>
        <w:autoSpaceDE w:val="0"/>
        <w:autoSpaceDN w:val="0"/>
        <w:adjustRightInd w:val="0"/>
        <w:rPr>
          <w:rFonts w:ascii="Times New Roman" w:hAnsi="Times New Roman" w:cs="Times New Roman"/>
        </w:rPr>
      </w:pPr>
      <w:bookmarkStart w:id="0" w:name="_GoBack"/>
      <w:bookmarkEnd w:id="0"/>
    </w:p>
    <w:p w14:paraId="4506FE04" w14:textId="7610F019" w:rsidR="008610EA" w:rsidRPr="00844D3A" w:rsidRDefault="00541A80" w:rsidP="00791BE0">
      <w:pPr>
        <w:widowControl w:val="0"/>
        <w:autoSpaceDE w:val="0"/>
        <w:autoSpaceDN w:val="0"/>
        <w:adjustRightInd w:val="0"/>
        <w:spacing w:line="480" w:lineRule="auto"/>
      </w:pPr>
      <w:proofErr w:type="gramStart"/>
      <w:r w:rsidRPr="00844D3A">
        <w:rPr>
          <w:b/>
        </w:rPr>
        <w:t xml:space="preserve">Development of SBI-756-resistant cells and </w:t>
      </w:r>
      <w:proofErr w:type="spellStart"/>
      <w:r w:rsidRPr="00844D3A">
        <w:rPr>
          <w:b/>
        </w:rPr>
        <w:t>exome</w:t>
      </w:r>
      <w:proofErr w:type="spellEnd"/>
      <w:r w:rsidRPr="00844D3A">
        <w:rPr>
          <w:b/>
        </w:rPr>
        <w:t xml:space="preserve"> sequencing</w:t>
      </w:r>
      <w:r w:rsidRPr="00844D3A">
        <w:t>.</w:t>
      </w:r>
      <w:proofErr w:type="gramEnd"/>
      <w:r w:rsidRPr="00844D3A">
        <w:t xml:space="preserve"> UACC903 and UACC3629 cells were treated with increasing SBI-756 concentrations from 0.01</w:t>
      </w:r>
      <w:r w:rsidRPr="00844D3A">
        <w:rPr>
          <w:rFonts w:ascii="Cambria" w:hAnsi="Cambria"/>
        </w:rPr>
        <w:t>–</w:t>
      </w:r>
      <w:r w:rsidRPr="00844D3A">
        <w:t xml:space="preserve">2.5 </w:t>
      </w:r>
      <w:r w:rsidR="00EC3E5D" w:rsidRPr="00844D3A">
        <w:rPr>
          <w:rFonts w:ascii="Symbol" w:hAnsi="Symbol"/>
        </w:rPr>
        <w:t></w:t>
      </w:r>
      <w:r w:rsidRPr="00844D3A">
        <w:t xml:space="preserve">M over 12 weeks. Single clones were isolated from 96-well plates, expanded, and genomic DNA was extracted. </w:t>
      </w:r>
      <w:proofErr w:type="spellStart"/>
      <w:proofErr w:type="gramStart"/>
      <w:r w:rsidRPr="00844D3A">
        <w:t>Exome</w:t>
      </w:r>
      <w:proofErr w:type="spellEnd"/>
      <w:r w:rsidRPr="00844D3A">
        <w:t xml:space="preserve"> sequencing of UACC903 SBI-756-senitive parental and resistant clones was performed by Ion Proton</w:t>
      </w:r>
      <w:proofErr w:type="gramEnd"/>
      <w:r w:rsidRPr="00844D3A">
        <w:t xml:space="preserve"> (Life Technologies). The library was made using the Ion </w:t>
      </w:r>
      <w:proofErr w:type="spellStart"/>
      <w:r w:rsidRPr="00844D3A">
        <w:t>AmpliSeq</w:t>
      </w:r>
      <w:proofErr w:type="spellEnd"/>
      <w:r w:rsidRPr="00844D3A">
        <w:t xml:space="preserve"> </w:t>
      </w:r>
      <w:proofErr w:type="spellStart"/>
      <w:r w:rsidRPr="00844D3A">
        <w:t>Exome</w:t>
      </w:r>
      <w:proofErr w:type="spellEnd"/>
      <w:r w:rsidRPr="00844D3A">
        <w:t xml:space="preserve"> Kit according to the manufacturer’s protocol. The </w:t>
      </w:r>
      <w:proofErr w:type="spellStart"/>
      <w:r w:rsidRPr="00844D3A">
        <w:t>exome-seq</w:t>
      </w:r>
      <w:proofErr w:type="spellEnd"/>
      <w:r w:rsidRPr="00844D3A">
        <w:t xml:space="preserve"> reads were aligned to the human genome (hg19)</w:t>
      </w:r>
      <w:r w:rsidR="00EC3E5D" w:rsidRPr="00844D3A">
        <w:t xml:space="preserve"> </w:t>
      </w:r>
      <w:r w:rsidRPr="00844D3A">
        <w:t xml:space="preserve">in Torrent Suit v4.2 and variants were called with the Torrent Suit Variant Caller v4.2. </w:t>
      </w:r>
      <w:proofErr w:type="spellStart"/>
      <w:r w:rsidRPr="00844D3A">
        <w:t>Exome</w:t>
      </w:r>
      <w:proofErr w:type="spellEnd"/>
      <w:r w:rsidRPr="00844D3A">
        <w:t xml:space="preserve"> sequencing of UACC3629 parental and SBI-756 resistant clones was performed using a </w:t>
      </w:r>
      <w:proofErr w:type="spellStart"/>
      <w:r w:rsidRPr="00844D3A">
        <w:t>HiSeq</w:t>
      </w:r>
      <w:proofErr w:type="spellEnd"/>
      <w:r w:rsidRPr="00844D3A">
        <w:t xml:space="preserve"> 2000 (</w:t>
      </w:r>
      <w:proofErr w:type="spellStart"/>
      <w:r w:rsidRPr="00844D3A">
        <w:t>Illumina</w:t>
      </w:r>
      <w:proofErr w:type="spellEnd"/>
      <w:r w:rsidRPr="00844D3A">
        <w:t xml:space="preserve">). </w:t>
      </w:r>
      <w:proofErr w:type="spellStart"/>
      <w:r w:rsidRPr="00844D3A">
        <w:t>Exome</w:t>
      </w:r>
      <w:proofErr w:type="spellEnd"/>
      <w:r w:rsidRPr="00844D3A">
        <w:t xml:space="preserve"> sequence capture was performed with </w:t>
      </w:r>
      <w:proofErr w:type="spellStart"/>
      <w:r w:rsidRPr="00844D3A">
        <w:t>NimbleGen’s</w:t>
      </w:r>
      <w:proofErr w:type="spellEnd"/>
      <w:r w:rsidRPr="00844D3A">
        <w:t xml:space="preserve"> </w:t>
      </w:r>
      <w:proofErr w:type="spellStart"/>
      <w:r w:rsidRPr="00844D3A">
        <w:t>SeqCap</w:t>
      </w:r>
      <w:proofErr w:type="spellEnd"/>
      <w:r w:rsidRPr="00844D3A">
        <w:t xml:space="preserve"> EZ Human </w:t>
      </w:r>
      <w:proofErr w:type="spellStart"/>
      <w:r w:rsidRPr="00844D3A">
        <w:t>Exome</w:t>
      </w:r>
      <w:proofErr w:type="spellEnd"/>
      <w:r w:rsidRPr="00844D3A">
        <w:t xml:space="preserve"> Library v3.0 (Roche </w:t>
      </w:r>
      <w:proofErr w:type="spellStart"/>
      <w:r w:rsidRPr="00844D3A">
        <w:t>NimbleGen</w:t>
      </w:r>
      <w:proofErr w:type="spellEnd"/>
      <w:r w:rsidRPr="00844D3A">
        <w:t xml:space="preserve">, Inc., Madison, WI, USA). The generated FASTQ files were preprocessed for high quality reads by </w:t>
      </w:r>
      <w:proofErr w:type="spellStart"/>
      <w:r w:rsidRPr="00844D3A">
        <w:t>Trimmomatic</w:t>
      </w:r>
      <w:proofErr w:type="spellEnd"/>
      <w:r w:rsidRPr="00844D3A">
        <w:t xml:space="preserve"> (v0.32; </w:t>
      </w:r>
      <w:hyperlink r:id="rId7" w:history="1">
        <w:r w:rsidRPr="00844D3A">
          <w:rPr>
            <w:rStyle w:val="Hyperlink"/>
            <w:color w:val="auto"/>
          </w:rPr>
          <w:t>http://www.usadellab.org/cms/?page=trimmomatic</w:t>
        </w:r>
      </w:hyperlink>
      <w:r w:rsidRPr="00844D3A">
        <w:t xml:space="preserve">), and </w:t>
      </w:r>
      <w:proofErr w:type="spellStart"/>
      <w:r w:rsidRPr="00844D3A">
        <w:t>Novoalign</w:t>
      </w:r>
      <w:proofErr w:type="spellEnd"/>
      <w:r w:rsidRPr="00844D3A">
        <w:t xml:space="preserve"> software (</w:t>
      </w:r>
      <w:hyperlink r:id="rId8" w:history="1">
        <w:r w:rsidRPr="00844D3A">
          <w:rPr>
            <w:rStyle w:val="Hyperlink"/>
            <w:color w:val="auto"/>
          </w:rPr>
          <w:t>www.novocraft.com</w:t>
        </w:r>
      </w:hyperlink>
      <w:r w:rsidRPr="00844D3A">
        <w:t xml:space="preserve">) was used to align high quality reads to human genome (hg19). </w:t>
      </w:r>
      <w:proofErr w:type="spellStart"/>
      <w:r w:rsidRPr="00844D3A">
        <w:t>Deduplication</w:t>
      </w:r>
      <w:proofErr w:type="spellEnd"/>
      <w:r w:rsidRPr="00844D3A">
        <w:t xml:space="preserve">, realignment, and recalibration was performed using GATK (v1.6; </w:t>
      </w:r>
      <w:hyperlink r:id="rId9" w:history="1">
        <w:r w:rsidRPr="00844D3A">
          <w:rPr>
            <w:rStyle w:val="Hyperlink"/>
            <w:color w:val="auto"/>
          </w:rPr>
          <w:t>https://www.broadinstitute.org/gatk/</w:t>
        </w:r>
      </w:hyperlink>
      <w:r w:rsidRPr="00844D3A">
        <w:t xml:space="preserve">), and sequence variants were called using </w:t>
      </w:r>
      <w:proofErr w:type="spellStart"/>
      <w:r w:rsidRPr="00844D3A">
        <w:t>MuTect</w:t>
      </w:r>
      <w:proofErr w:type="spellEnd"/>
      <w:r w:rsidRPr="00844D3A">
        <w:t xml:space="preserve"> (broadinstitute.org/cancer/</w:t>
      </w:r>
      <w:proofErr w:type="spellStart"/>
      <w:r w:rsidRPr="00844D3A">
        <w:t>cga</w:t>
      </w:r>
      <w:proofErr w:type="spellEnd"/>
      <w:r w:rsidRPr="00844D3A">
        <w:t>/</w:t>
      </w:r>
      <w:proofErr w:type="spellStart"/>
      <w:r w:rsidRPr="00844D3A">
        <w:t>mutect</w:t>
      </w:r>
      <w:proofErr w:type="spellEnd"/>
      <w:r w:rsidRPr="00844D3A">
        <w:t>). We further applied the following criteria to retain high-quality variants specifically appearing in SBI-756-resistant clones (but not their respective parental lines): (1) the sequencing depths for both parent and resistant lines &gt;10, with an alternative allele depth &gt;3; (2) variant quality score in resistant clone &gt;30 (99.9% confidence); (</w:t>
      </w:r>
      <w:r w:rsidR="00EC3E5D" w:rsidRPr="00844D3A">
        <w:t>3</w:t>
      </w:r>
      <w:r w:rsidRPr="00844D3A">
        <w:t xml:space="preserve">) variant was not </w:t>
      </w:r>
      <w:r w:rsidRPr="00844D3A">
        <w:lastRenderedPageBreak/>
        <w:t xml:space="preserve">detected in parent cell line; (4) variant is not annotated as observed in the </w:t>
      </w:r>
      <w:proofErr w:type="spellStart"/>
      <w:r w:rsidRPr="00844D3A">
        <w:t>germline</w:t>
      </w:r>
      <w:proofErr w:type="spellEnd"/>
      <w:r w:rsidRPr="00844D3A">
        <w:t xml:space="preserve"> by the 1,000 Genome Project database (1000genomes.org); (5) variant located within </w:t>
      </w:r>
      <w:proofErr w:type="spellStart"/>
      <w:r w:rsidRPr="00844D3A">
        <w:t>exonic</w:t>
      </w:r>
      <w:proofErr w:type="spellEnd"/>
      <w:r w:rsidRPr="00844D3A">
        <w:t xml:space="preserve"> or canonical splicing region with predicted effect on protein coding sequence. After filtering, all mutations were annotated by </w:t>
      </w:r>
      <w:proofErr w:type="spellStart"/>
      <w:r w:rsidRPr="00844D3A">
        <w:t>Ensembl</w:t>
      </w:r>
      <w:proofErr w:type="spellEnd"/>
      <w:r w:rsidRPr="00844D3A">
        <w:t xml:space="preserve"> VEP (variant effect predictor) pipeline (useast.ensembl.org/</w:t>
      </w:r>
      <w:proofErr w:type="spellStart"/>
      <w:r w:rsidRPr="00844D3A">
        <w:t>Homo_sapiens</w:t>
      </w:r>
      <w:proofErr w:type="spellEnd"/>
      <w:r w:rsidRPr="00844D3A">
        <w:t>/Tools/VEP). Pathway enrichment of mutations was subsequently analyzed using IPA (QIAGEN)</w:t>
      </w:r>
    </w:p>
    <w:p w14:paraId="6BC51002" w14:textId="77777777" w:rsidR="00791BE0" w:rsidRPr="00844D3A" w:rsidRDefault="00791BE0" w:rsidP="00791BE0">
      <w:pPr>
        <w:autoSpaceDE w:val="0"/>
        <w:autoSpaceDN w:val="0"/>
        <w:adjustRightInd w:val="0"/>
        <w:spacing w:line="480" w:lineRule="auto"/>
        <w:rPr>
          <w:rFonts w:ascii="Times New Roman" w:hAnsi="Times New Roman" w:cs="Times New Roman"/>
        </w:rPr>
      </w:pPr>
    </w:p>
    <w:p w14:paraId="289B9DBD" w14:textId="594A4515" w:rsidR="00026F48" w:rsidRPr="00844D3A" w:rsidRDefault="00AF1C75" w:rsidP="00791BE0">
      <w:pPr>
        <w:autoSpaceDE w:val="0"/>
        <w:autoSpaceDN w:val="0"/>
        <w:adjustRightInd w:val="0"/>
        <w:spacing w:line="480" w:lineRule="auto"/>
        <w:rPr>
          <w:rFonts w:cs="Times New Roman"/>
          <w:b/>
        </w:rPr>
      </w:pPr>
      <w:r w:rsidRPr="00844D3A">
        <w:rPr>
          <w:rFonts w:cs="Times New Roman"/>
          <w:b/>
          <w:i/>
        </w:rPr>
        <w:t>In vitro</w:t>
      </w:r>
      <w:r w:rsidRPr="00844D3A">
        <w:rPr>
          <w:rFonts w:cs="Times New Roman"/>
          <w:b/>
        </w:rPr>
        <w:t xml:space="preserve"> translation assays</w:t>
      </w:r>
      <w:r w:rsidRPr="00844D3A">
        <w:rPr>
          <w:rFonts w:cs="Times New Roman"/>
        </w:rPr>
        <w:t xml:space="preserve">. The </w:t>
      </w:r>
      <w:proofErr w:type="spellStart"/>
      <w:r w:rsidRPr="00844D3A">
        <w:rPr>
          <w:rFonts w:cs="Times New Roman"/>
        </w:rPr>
        <w:t>bicistronic</w:t>
      </w:r>
      <w:proofErr w:type="spellEnd"/>
      <w:r w:rsidRPr="00844D3A">
        <w:rPr>
          <w:rFonts w:cs="Times New Roman"/>
        </w:rPr>
        <w:t xml:space="preserve"> dual-reporter constructs that contain the firefly luciferase (FF), followed by the (</w:t>
      </w:r>
      <w:proofErr w:type="spellStart"/>
      <w:r w:rsidRPr="00844D3A">
        <w:rPr>
          <w:rFonts w:cs="Times New Roman"/>
        </w:rPr>
        <w:t>encephalomyocarditis</w:t>
      </w:r>
      <w:proofErr w:type="spellEnd"/>
      <w:r w:rsidRPr="00844D3A">
        <w:rPr>
          <w:rFonts w:cs="Times New Roman"/>
        </w:rPr>
        <w:t xml:space="preserve"> virus) </w:t>
      </w:r>
      <w:r w:rsidR="00B37087" w:rsidRPr="00844D3A">
        <w:rPr>
          <w:rFonts w:cs="Times New Roman"/>
        </w:rPr>
        <w:t xml:space="preserve">HCV </w:t>
      </w:r>
      <w:r w:rsidRPr="00844D3A">
        <w:rPr>
          <w:rFonts w:cs="Times New Roman"/>
        </w:rPr>
        <w:t xml:space="preserve">IRES and the </w:t>
      </w:r>
      <w:proofErr w:type="spellStart"/>
      <w:r w:rsidRPr="00844D3A">
        <w:rPr>
          <w:rFonts w:cs="Times New Roman"/>
        </w:rPr>
        <w:t>Renilla</w:t>
      </w:r>
      <w:proofErr w:type="spellEnd"/>
      <w:r w:rsidRPr="00844D3A">
        <w:rPr>
          <w:rFonts w:cs="Times New Roman"/>
        </w:rPr>
        <w:t xml:space="preserve"> </w:t>
      </w:r>
      <w:proofErr w:type="spellStart"/>
      <w:r w:rsidRPr="00844D3A">
        <w:rPr>
          <w:rFonts w:cs="Times New Roman"/>
        </w:rPr>
        <w:t>reniformis</w:t>
      </w:r>
      <w:proofErr w:type="spellEnd"/>
      <w:r w:rsidRPr="00844D3A">
        <w:rPr>
          <w:rFonts w:cs="Times New Roman"/>
        </w:rPr>
        <w:t xml:space="preserve"> (</w:t>
      </w:r>
      <w:proofErr w:type="spellStart"/>
      <w:r w:rsidRPr="00844D3A">
        <w:rPr>
          <w:rFonts w:cs="Times New Roman"/>
        </w:rPr>
        <w:t>Ren</w:t>
      </w:r>
      <w:proofErr w:type="spellEnd"/>
      <w:r w:rsidRPr="00844D3A">
        <w:rPr>
          <w:rFonts w:cs="Times New Roman"/>
        </w:rPr>
        <w:t xml:space="preserve">) luciferase, have been previously described </w:t>
      </w:r>
      <w:r w:rsidRPr="00844D3A">
        <w:rPr>
          <w:rFonts w:cs="Times New Roman"/>
        </w:rPr>
        <w:fldChar w:fldCharType="begin">
          <w:fldData xml:space="preserve">PEVuZE5vdGU+PENpdGU+PEF1dGhvcj5Cb3JkZWxlYXU8L0F1dGhvcj48WWVhcj4yMDA2PC9ZZWFy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</w:fldData>
        </w:fldChar>
      </w:r>
      <w:r w:rsidRPr="00844D3A">
        <w:rPr>
          <w:rFonts w:cs="Times New Roman"/>
        </w:rPr>
        <w:instrText xml:space="preserve"> ADDIN EN.CITE </w:instrText>
      </w:r>
      <w:r w:rsidRPr="00844D3A">
        <w:rPr>
          <w:rFonts w:cs="Times New Roman"/>
        </w:rPr>
        <w:fldChar w:fldCharType="begin">
          <w:fldData xml:space="preserve">PEVuZE5vdGU+PENpdGU+PEF1dGhvcj5Cb3JkZWxlYXU8L0F1dGhvcj48WWVhcj4yMDA2PC9ZZWFy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</w:fldData>
        </w:fldChar>
      </w:r>
      <w:r w:rsidRPr="00844D3A">
        <w:rPr>
          <w:rFonts w:cs="Times New Roman"/>
        </w:rPr>
        <w:instrText xml:space="preserve"> ADDIN EN.CITE.DATA </w:instrText>
      </w:r>
      <w:r w:rsidRPr="00844D3A">
        <w:rPr>
          <w:rFonts w:cs="Times New Roman"/>
        </w:rPr>
      </w:r>
      <w:r w:rsidRPr="00844D3A">
        <w:rPr>
          <w:rFonts w:cs="Times New Roman"/>
        </w:rPr>
        <w:fldChar w:fldCharType="end"/>
      </w:r>
      <w:r w:rsidRPr="00844D3A">
        <w:rPr>
          <w:rFonts w:cs="Times New Roman"/>
        </w:rPr>
      </w:r>
      <w:r w:rsidRPr="00844D3A">
        <w:rPr>
          <w:rFonts w:cs="Times New Roman"/>
        </w:rPr>
        <w:fldChar w:fldCharType="separate"/>
      </w:r>
      <w:r w:rsidRPr="00844D3A">
        <w:rPr>
          <w:rFonts w:cs="Times New Roman"/>
          <w:noProof/>
        </w:rPr>
        <w:t>(</w:t>
      </w:r>
      <w:r w:rsidR="00EC3E5D" w:rsidRPr="00844D3A">
        <w:rPr>
          <w:rFonts w:cs="Times New Roman"/>
          <w:noProof/>
        </w:rPr>
        <w:t>1</w:t>
      </w:r>
      <w:r w:rsidRPr="00844D3A">
        <w:rPr>
          <w:rFonts w:cs="Times New Roman"/>
          <w:noProof/>
        </w:rPr>
        <w:t>)</w:t>
      </w:r>
      <w:r w:rsidRPr="00844D3A">
        <w:rPr>
          <w:rFonts w:cs="Times New Roman"/>
        </w:rPr>
        <w:fldChar w:fldCharType="end"/>
      </w:r>
      <w:r w:rsidRPr="00844D3A">
        <w:rPr>
          <w:rFonts w:cs="Times New Roman"/>
        </w:rPr>
        <w:t xml:space="preserve">. For measurement of translation of </w:t>
      </w:r>
      <w:r w:rsidRPr="00844D3A">
        <w:rPr>
          <w:rFonts w:cs="Times New Roman"/>
          <w:iCs/>
        </w:rPr>
        <w:t>FF-</w:t>
      </w:r>
      <w:r w:rsidR="00B37087" w:rsidRPr="00844D3A">
        <w:rPr>
          <w:rFonts w:cs="Times New Roman"/>
          <w:iCs/>
        </w:rPr>
        <w:t>HCV</w:t>
      </w:r>
      <w:r w:rsidRPr="00844D3A">
        <w:rPr>
          <w:rFonts w:cs="Times New Roman"/>
          <w:iCs/>
        </w:rPr>
        <w:t>-</w:t>
      </w:r>
      <w:proofErr w:type="spellStart"/>
      <w:r w:rsidRPr="00844D3A">
        <w:rPr>
          <w:rFonts w:cs="Times New Roman"/>
          <w:iCs/>
        </w:rPr>
        <w:t>Ren</w:t>
      </w:r>
      <w:proofErr w:type="spellEnd"/>
      <w:r w:rsidRPr="00844D3A">
        <w:rPr>
          <w:rFonts w:cs="Times New Roman"/>
          <w:iCs/>
        </w:rPr>
        <w:t xml:space="preserve"> mRNAs, r</w:t>
      </w:r>
      <w:r w:rsidRPr="00844D3A">
        <w:rPr>
          <w:rFonts w:cs="Times New Roman"/>
        </w:rPr>
        <w:t>abbit reticulocyte lysates (RRL) (Life Technologies, Carlsbad, CA, USA) and the Dual-</w:t>
      </w:r>
      <w:proofErr w:type="spellStart"/>
      <w:r w:rsidRPr="00844D3A">
        <w:rPr>
          <w:rFonts w:cs="Times New Roman"/>
        </w:rPr>
        <w:t>Glo</w:t>
      </w:r>
      <w:proofErr w:type="spellEnd"/>
      <w:r w:rsidRPr="00844D3A">
        <w:rPr>
          <w:rFonts w:cs="Times New Roman"/>
        </w:rPr>
        <w:t xml:space="preserve"> (</w:t>
      </w:r>
      <w:proofErr w:type="spellStart"/>
      <w:r w:rsidRPr="00844D3A">
        <w:rPr>
          <w:rFonts w:cs="Times New Roman"/>
        </w:rPr>
        <w:t>Promega</w:t>
      </w:r>
      <w:proofErr w:type="spellEnd"/>
      <w:r w:rsidRPr="00844D3A">
        <w:rPr>
          <w:rFonts w:cs="Times New Roman"/>
        </w:rPr>
        <w:t xml:space="preserve">, Madison, WI, USA) read-outs were used </w:t>
      </w:r>
      <w:r w:rsidR="00026F48" w:rsidRPr="00844D3A">
        <w:rPr>
          <w:rFonts w:cs="Times New Roman"/>
        </w:rPr>
        <w:t>as previously described (</w:t>
      </w:r>
      <w:r w:rsidR="00EC3E5D" w:rsidRPr="00844D3A">
        <w:rPr>
          <w:rFonts w:cs="Times New Roman"/>
        </w:rPr>
        <w:t>2</w:t>
      </w:r>
      <w:r w:rsidR="00026F48" w:rsidRPr="00844D3A">
        <w:rPr>
          <w:rFonts w:cs="Times New Roman"/>
        </w:rPr>
        <w:t xml:space="preserve">). </w:t>
      </w:r>
      <w:r w:rsidR="00026F48" w:rsidRPr="00844D3A">
        <w:rPr>
          <w:rFonts w:ascii="Times New Roman" w:hAnsi="Times New Roman" w:cs="Times New Roman"/>
          <w:iCs/>
        </w:rPr>
        <w:t>Briefly, r</w:t>
      </w:r>
      <w:r w:rsidR="00026F48" w:rsidRPr="00844D3A">
        <w:rPr>
          <w:rFonts w:ascii="Times New Roman" w:hAnsi="Times New Roman" w:cs="Times New Roman"/>
        </w:rPr>
        <w:t>abbit reticulocyte lysates mixed with Translation Mix 20x (-Met) and Translation Mix 20x (-</w:t>
      </w:r>
      <w:proofErr w:type="spellStart"/>
      <w:r w:rsidR="00026F48" w:rsidRPr="00844D3A">
        <w:rPr>
          <w:rFonts w:ascii="Times New Roman" w:hAnsi="Times New Roman" w:cs="Times New Roman"/>
        </w:rPr>
        <w:t>Leu</w:t>
      </w:r>
      <w:proofErr w:type="spellEnd"/>
      <w:r w:rsidR="00026F48" w:rsidRPr="00844D3A">
        <w:rPr>
          <w:rFonts w:ascii="Times New Roman" w:hAnsi="Times New Roman" w:cs="Times New Roman"/>
        </w:rPr>
        <w:t xml:space="preserve">) in a ratio of 1:1 were pre-incubated with test compounds for 1 h at room temperature. Translation was started by adding capped RNA prepared by using </w:t>
      </w:r>
      <w:proofErr w:type="spellStart"/>
      <w:r w:rsidR="00026F48" w:rsidRPr="00844D3A">
        <w:rPr>
          <w:rFonts w:ascii="Times New Roman" w:hAnsi="Times New Roman" w:cs="Times New Roman"/>
        </w:rPr>
        <w:t>Megascript</w:t>
      </w:r>
      <w:proofErr w:type="spellEnd"/>
      <w:r w:rsidR="00026F48" w:rsidRPr="00844D3A">
        <w:rPr>
          <w:rFonts w:ascii="Times New Roman" w:hAnsi="Times New Roman" w:cs="Times New Roman"/>
        </w:rPr>
        <w:t xml:space="preserve"> T3 (</w:t>
      </w:r>
      <w:proofErr w:type="spellStart"/>
      <w:r w:rsidR="00026F48" w:rsidRPr="00844D3A">
        <w:rPr>
          <w:rFonts w:ascii="Times New Roman" w:hAnsi="Times New Roman" w:cs="Times New Roman"/>
        </w:rPr>
        <w:t>Ambion</w:t>
      </w:r>
      <w:proofErr w:type="spellEnd"/>
      <w:r w:rsidR="00026F48" w:rsidRPr="00844D3A">
        <w:rPr>
          <w:rFonts w:ascii="Times New Roman" w:hAnsi="Times New Roman" w:cs="Times New Roman"/>
        </w:rPr>
        <w:t>), and incubated for 2 h at 30°C. Dual-</w:t>
      </w:r>
      <w:proofErr w:type="spellStart"/>
      <w:r w:rsidR="00026F48" w:rsidRPr="00844D3A">
        <w:rPr>
          <w:rFonts w:ascii="Times New Roman" w:hAnsi="Times New Roman" w:cs="Times New Roman"/>
        </w:rPr>
        <w:t>Glo</w:t>
      </w:r>
      <w:proofErr w:type="spellEnd"/>
      <w:r w:rsidR="00026F48" w:rsidRPr="00844D3A">
        <w:rPr>
          <w:rFonts w:ascii="Times New Roman" w:hAnsi="Times New Roman" w:cs="Times New Roman"/>
        </w:rPr>
        <w:t xml:space="preserve"> reagent 1 was added for 10 min before reading the FF luciferase activity with the </w:t>
      </w:r>
      <w:proofErr w:type="spellStart"/>
      <w:r w:rsidR="00026F48" w:rsidRPr="00844D3A">
        <w:rPr>
          <w:rFonts w:ascii="Times New Roman" w:hAnsi="Times New Roman" w:cs="Times New Roman"/>
        </w:rPr>
        <w:t>EnVision</w:t>
      </w:r>
      <w:proofErr w:type="spellEnd"/>
      <w:r w:rsidR="00026F48" w:rsidRPr="00844D3A">
        <w:rPr>
          <w:rFonts w:ascii="Times New Roman" w:hAnsi="Times New Roman" w:cs="Times New Roman"/>
        </w:rPr>
        <w:t xml:space="preserve"> plate reader (Perkin Elmer, Waltham, MA, USA). </w:t>
      </w:r>
      <w:r w:rsidR="00EC3E5D" w:rsidRPr="00844D3A">
        <w:rPr>
          <w:rFonts w:ascii="Times New Roman" w:hAnsi="Times New Roman" w:cs="Times New Roman"/>
        </w:rPr>
        <w:t>The</w:t>
      </w:r>
      <w:r w:rsidR="00026F48" w:rsidRPr="00844D3A">
        <w:rPr>
          <w:rFonts w:ascii="Times New Roman" w:hAnsi="Times New Roman" w:cs="Times New Roman"/>
        </w:rPr>
        <w:t>n, Dual-</w:t>
      </w:r>
      <w:proofErr w:type="spellStart"/>
      <w:r w:rsidR="00026F48" w:rsidRPr="00844D3A">
        <w:rPr>
          <w:rFonts w:ascii="Times New Roman" w:hAnsi="Times New Roman" w:cs="Times New Roman"/>
        </w:rPr>
        <w:t>Glo</w:t>
      </w:r>
      <w:proofErr w:type="spellEnd"/>
      <w:r w:rsidR="00026F48" w:rsidRPr="00844D3A">
        <w:rPr>
          <w:rFonts w:ascii="Times New Roman" w:hAnsi="Times New Roman" w:cs="Times New Roman"/>
        </w:rPr>
        <w:t xml:space="preserve"> reagent 2 was dispensed to each well and incubated at room temperature for 10 min before reading the </w:t>
      </w:r>
      <w:proofErr w:type="spellStart"/>
      <w:r w:rsidR="00026F48" w:rsidRPr="00844D3A">
        <w:rPr>
          <w:rFonts w:ascii="Times New Roman" w:hAnsi="Times New Roman" w:cs="Times New Roman"/>
        </w:rPr>
        <w:t>Ren</w:t>
      </w:r>
      <w:proofErr w:type="spellEnd"/>
      <w:r w:rsidR="00026F48" w:rsidRPr="00844D3A">
        <w:rPr>
          <w:rFonts w:ascii="Times New Roman" w:hAnsi="Times New Roman" w:cs="Times New Roman"/>
        </w:rPr>
        <w:t xml:space="preserve"> luciferase activity on the </w:t>
      </w:r>
      <w:proofErr w:type="spellStart"/>
      <w:r w:rsidR="00026F48" w:rsidRPr="00844D3A">
        <w:rPr>
          <w:rFonts w:ascii="Times New Roman" w:hAnsi="Times New Roman" w:cs="Times New Roman"/>
        </w:rPr>
        <w:t>EnVision</w:t>
      </w:r>
      <w:proofErr w:type="spellEnd"/>
      <w:r w:rsidR="00026F48" w:rsidRPr="00844D3A">
        <w:rPr>
          <w:rFonts w:ascii="Times New Roman" w:hAnsi="Times New Roman" w:cs="Times New Roman"/>
        </w:rPr>
        <w:t>.</w:t>
      </w:r>
      <w:r w:rsidR="00026F48" w:rsidRPr="00844D3A">
        <w:rPr>
          <w:rFonts w:eastAsia="Times New Roman" w:cs="Times New Roman"/>
        </w:rPr>
        <w:t xml:space="preserve"> </w:t>
      </w:r>
      <w:r w:rsidR="00026F48" w:rsidRPr="00844D3A">
        <w:rPr>
          <w:rFonts w:ascii="Times New Roman" w:hAnsi="Times New Roman" w:cs="Times New Roman"/>
        </w:rPr>
        <w:t xml:space="preserve">To exclude the possibility that test compounds interfere with any of the luciferase activities, a counter assay was performed in which the compounds were added after the completion of the </w:t>
      </w:r>
      <w:r w:rsidR="00026F48" w:rsidRPr="00844D3A">
        <w:rPr>
          <w:rFonts w:ascii="Times New Roman" w:hAnsi="Times New Roman" w:cs="Times New Roman"/>
          <w:i/>
        </w:rPr>
        <w:t>in vitro</w:t>
      </w:r>
      <w:r w:rsidR="00026F48" w:rsidRPr="00844D3A">
        <w:rPr>
          <w:rFonts w:ascii="Times New Roman" w:hAnsi="Times New Roman" w:cs="Times New Roman"/>
        </w:rPr>
        <w:t xml:space="preserve"> translation.</w:t>
      </w:r>
    </w:p>
    <w:p w14:paraId="6F728F43" w14:textId="77777777" w:rsidR="00791BE0" w:rsidRPr="00844D3A" w:rsidRDefault="00791BE0" w:rsidP="00791BE0">
      <w:pPr>
        <w:autoSpaceDE w:val="0"/>
        <w:autoSpaceDN w:val="0"/>
        <w:adjustRightInd w:val="0"/>
        <w:spacing w:line="480" w:lineRule="auto"/>
        <w:rPr>
          <w:rFonts w:cs="Times New Roman"/>
        </w:rPr>
      </w:pPr>
      <w:proofErr w:type="gramStart"/>
      <w:r w:rsidRPr="00844D3A">
        <w:rPr>
          <w:rFonts w:cs="Times New Roman"/>
          <w:b/>
        </w:rPr>
        <w:lastRenderedPageBreak/>
        <w:t>Microarray expression profiling of melanoma cell lines</w:t>
      </w:r>
      <w:r w:rsidRPr="00844D3A">
        <w:rPr>
          <w:rFonts w:cs="Times New Roman"/>
        </w:rPr>
        <w:t>.</w:t>
      </w:r>
      <w:proofErr w:type="gramEnd"/>
      <w:r w:rsidRPr="00844D3A">
        <w:rPr>
          <w:rFonts w:cs="Times New Roman"/>
        </w:rPr>
        <w:t xml:space="preserve"> Total</w:t>
      </w:r>
      <w:r w:rsidRPr="00844D3A">
        <w:rPr>
          <w:rFonts w:cs="Times New Roman"/>
          <w:b/>
        </w:rPr>
        <w:t xml:space="preserve"> </w:t>
      </w:r>
      <w:r w:rsidRPr="00844D3A">
        <w:rPr>
          <w:rFonts w:cs="Times New Roman"/>
        </w:rPr>
        <w:t xml:space="preserve">RNA from melanoma lines was profiled per manufacturer’s protocol on Human Genome U133plus2.0 </w:t>
      </w:r>
      <w:proofErr w:type="spellStart"/>
      <w:r w:rsidRPr="00844D3A">
        <w:rPr>
          <w:rFonts w:cs="Times New Roman"/>
        </w:rPr>
        <w:t>GeneChips</w:t>
      </w:r>
      <w:proofErr w:type="spellEnd"/>
      <w:r w:rsidRPr="00844D3A">
        <w:rPr>
          <w:rFonts w:cs="Times New Roman"/>
        </w:rPr>
        <w:t xml:space="preserve"> (</w:t>
      </w:r>
      <w:proofErr w:type="spellStart"/>
      <w:r w:rsidRPr="00844D3A">
        <w:rPr>
          <w:rFonts w:cs="Times New Roman"/>
        </w:rPr>
        <w:t>Affytmetrix</w:t>
      </w:r>
      <w:proofErr w:type="spellEnd"/>
      <w:r w:rsidRPr="00844D3A">
        <w:rPr>
          <w:rFonts w:cs="Times New Roman"/>
        </w:rPr>
        <w:t xml:space="preserve">), containing ~47,000 probe sets for 38,000 characterized human genes. </w:t>
      </w:r>
      <w:proofErr w:type="spellStart"/>
      <w:r w:rsidRPr="00844D3A">
        <w:rPr>
          <w:rFonts w:cs="Times New Roman"/>
        </w:rPr>
        <w:t>GeneChips</w:t>
      </w:r>
      <w:proofErr w:type="spellEnd"/>
      <w:r w:rsidRPr="00844D3A">
        <w:rPr>
          <w:rFonts w:cs="Times New Roman"/>
        </w:rPr>
        <w:t xml:space="preserve"> were scanned using the </w:t>
      </w:r>
      <w:proofErr w:type="spellStart"/>
      <w:r w:rsidRPr="00844D3A">
        <w:rPr>
          <w:rFonts w:cs="Times New Roman"/>
        </w:rPr>
        <w:t>Affymetrix</w:t>
      </w:r>
      <w:proofErr w:type="spellEnd"/>
      <w:r w:rsidRPr="00844D3A">
        <w:rPr>
          <w:rFonts w:cs="Times New Roman"/>
        </w:rPr>
        <w:t xml:space="preserve"> </w:t>
      </w:r>
      <w:proofErr w:type="spellStart"/>
      <w:r w:rsidRPr="00844D3A">
        <w:rPr>
          <w:rFonts w:cs="Times New Roman"/>
        </w:rPr>
        <w:t>GeneChip</w:t>
      </w:r>
      <w:proofErr w:type="spellEnd"/>
      <w:r w:rsidRPr="00844D3A">
        <w:rPr>
          <w:rFonts w:cs="Times New Roman"/>
        </w:rPr>
        <w:t xml:space="preserve"> Operating Software (GCOS) and the .CEL files were produced for downstream data analysis. The robust multi-array average (GCRMA) method (</w:t>
      </w:r>
      <w:proofErr w:type="spellStart"/>
      <w:r w:rsidRPr="00844D3A">
        <w:rPr>
          <w:rFonts w:cs="Times New Roman"/>
        </w:rPr>
        <w:t>Bioconductor</w:t>
      </w:r>
      <w:proofErr w:type="spellEnd"/>
      <w:r w:rsidRPr="00844D3A">
        <w:rPr>
          <w:rFonts w:cs="Times New Roman"/>
        </w:rPr>
        <w:t xml:space="preserve">; bioconductor.org) was used to background-adjust and normalize expression intensity values. </w:t>
      </w:r>
      <w:proofErr w:type="spellStart"/>
      <w:r w:rsidRPr="00844D3A">
        <w:rPr>
          <w:rFonts w:cs="Times New Roman"/>
        </w:rPr>
        <w:t>Probesets</w:t>
      </w:r>
      <w:proofErr w:type="spellEnd"/>
      <w:r w:rsidRPr="00844D3A">
        <w:rPr>
          <w:rFonts w:cs="Times New Roman"/>
        </w:rPr>
        <w:t xml:space="preserve"> with present calls in less than four of the seven most SBI-756-sensitive and -resistant samples, respectively, were filtered. The </w:t>
      </w:r>
      <w:proofErr w:type="spellStart"/>
      <w:r w:rsidRPr="00844D3A">
        <w:rPr>
          <w:rFonts w:cs="Times New Roman"/>
        </w:rPr>
        <w:t>limma</w:t>
      </w:r>
      <w:proofErr w:type="spellEnd"/>
      <w:r w:rsidRPr="00844D3A">
        <w:rPr>
          <w:rFonts w:cs="Times New Roman"/>
        </w:rPr>
        <w:t xml:space="preserve"> R software (</w:t>
      </w:r>
      <w:proofErr w:type="spellStart"/>
      <w:r w:rsidRPr="00844D3A">
        <w:rPr>
          <w:rFonts w:cs="Times New Roman"/>
        </w:rPr>
        <w:t>Bioconductor</w:t>
      </w:r>
      <w:proofErr w:type="spellEnd"/>
      <w:r w:rsidRPr="00844D3A">
        <w:rPr>
          <w:rFonts w:cs="Times New Roman"/>
        </w:rPr>
        <w:t xml:space="preserve">) package was used to identify the differentially expressed genes (DEGs). The probes with </w:t>
      </w:r>
      <w:r w:rsidRPr="00844D3A">
        <w:rPr>
          <w:rFonts w:cs="Times New Roman"/>
          <w:i/>
        </w:rPr>
        <w:t>P</w:t>
      </w:r>
      <w:r w:rsidRPr="00844D3A">
        <w:rPr>
          <w:rFonts w:cs="Times New Roman"/>
        </w:rPr>
        <w:t xml:space="preserve"> &lt; 0.05 and fold change &gt;1.5 were used to perform IPA analysis (QIAGEN). </w:t>
      </w:r>
    </w:p>
    <w:p w14:paraId="251D2FF2" w14:textId="77777777" w:rsidR="00791BE0" w:rsidRPr="00844D3A" w:rsidRDefault="00791BE0" w:rsidP="00541A80">
      <w:pPr>
        <w:autoSpaceDE w:val="0"/>
        <w:autoSpaceDN w:val="0"/>
        <w:adjustRightInd w:val="0"/>
        <w:spacing w:line="480" w:lineRule="auto"/>
        <w:rPr>
          <w:b/>
        </w:rPr>
      </w:pPr>
    </w:p>
    <w:p w14:paraId="4D4C75B1" w14:textId="77777777" w:rsidR="008610EA" w:rsidRPr="00844D3A" w:rsidRDefault="008610EA" w:rsidP="008610EA">
      <w:pPr>
        <w:autoSpaceDE w:val="0"/>
        <w:autoSpaceDN w:val="0"/>
        <w:adjustRightInd w:val="0"/>
        <w:spacing w:line="480" w:lineRule="auto"/>
      </w:pPr>
      <w:r w:rsidRPr="00844D3A">
        <w:rPr>
          <w:b/>
        </w:rPr>
        <w:t>Drug sensitivity profiling of melanoma cell lines</w:t>
      </w:r>
      <w:r w:rsidRPr="00844D3A">
        <w:t xml:space="preserve">. UACC melanoma cell lines were dispensed into 384-well tissue culture treated Corning plates in a volume of 45 </w:t>
      </w:r>
      <w:proofErr w:type="spellStart"/>
      <w:r w:rsidRPr="00844D3A">
        <w:t>μL</w:t>
      </w:r>
      <w:proofErr w:type="spellEnd"/>
      <w:r w:rsidRPr="00844D3A">
        <w:t xml:space="preserve"> per well using a BIO-TEK </w:t>
      </w:r>
      <w:r w:rsidRPr="00844D3A">
        <w:sym w:font="Symbol" w:char="F06D"/>
      </w:r>
      <w:r w:rsidRPr="00844D3A">
        <w:t xml:space="preserve">Fill </w:t>
      </w:r>
      <w:proofErr w:type="spellStart"/>
      <w:r w:rsidRPr="00844D3A">
        <w:t>Microplate</w:t>
      </w:r>
      <w:proofErr w:type="spellEnd"/>
      <w:r w:rsidRPr="00844D3A">
        <w:t xml:space="preserve"> Dispenser. Cell seeding density ranged between 750 and 2500 cells per well, which were optimized for individual cell lines. Twelve hours after plating, 5 </w:t>
      </w:r>
      <w:proofErr w:type="spellStart"/>
      <w:r w:rsidRPr="00844D3A">
        <w:t>μL</w:t>
      </w:r>
      <w:proofErr w:type="spellEnd"/>
      <w:r w:rsidRPr="00844D3A">
        <w:t xml:space="preserve"> of SBI-756 dilution series were transferred to the 384-well assay plates using </w:t>
      </w:r>
      <w:proofErr w:type="spellStart"/>
      <w:r w:rsidRPr="00844D3A">
        <w:t>BioMek</w:t>
      </w:r>
      <w:proofErr w:type="spellEnd"/>
      <w:r w:rsidRPr="00844D3A">
        <w:t xml:space="preserve"> FX (Beckman Coulter). The 20-point dose response assay with serial 2-fold dilutions yielded final drug concentration ranges of 100 </w:t>
      </w:r>
      <w:proofErr w:type="spellStart"/>
      <w:r w:rsidRPr="00844D3A">
        <w:t>μM</w:t>
      </w:r>
      <w:proofErr w:type="spellEnd"/>
      <w:r w:rsidRPr="00844D3A">
        <w:t xml:space="preserve"> to 0.2 </w:t>
      </w:r>
      <w:proofErr w:type="spellStart"/>
      <w:r w:rsidRPr="00844D3A">
        <w:t>nM</w:t>
      </w:r>
      <w:proofErr w:type="spellEnd"/>
      <w:r w:rsidRPr="00844D3A">
        <w:t xml:space="preserve"> giving a 500-fold range of concentrations, and a final DMSO concentration of 0.5%. On all plates, vehicle control wells were also included. The cell–compound mixtures were further incubated for 72 h; afterwards, cell viability </w:t>
      </w:r>
      <w:r w:rsidRPr="00844D3A">
        <w:lastRenderedPageBreak/>
        <w:t xml:space="preserve">was determined by measuring the amount of ATP per well using Cell Titer </w:t>
      </w:r>
      <w:proofErr w:type="spellStart"/>
      <w:r w:rsidRPr="00844D3A">
        <w:t>Glo</w:t>
      </w:r>
      <w:proofErr w:type="spellEnd"/>
      <w:r w:rsidRPr="00844D3A">
        <w:t xml:space="preserve"> (</w:t>
      </w:r>
      <w:proofErr w:type="spellStart"/>
      <w:r w:rsidRPr="00844D3A">
        <w:t>Promega</w:t>
      </w:r>
      <w:proofErr w:type="spellEnd"/>
      <w:r w:rsidRPr="00844D3A">
        <w:t>). Luminescence signal was measured using an Analyst GT Multimode reader (Molecular Devices). Each compound concentration was tested in triplicate within each run; and each cell line was assayed with two runs (separated by days). Raw values were normalized on a plate-by-plate basis to the median of vehicle wells. The normalized data were further applied with a nonlinear 4-parameter curve fit with Prism 5.0 (</w:t>
      </w:r>
      <w:proofErr w:type="spellStart"/>
      <w:r w:rsidRPr="00844D3A">
        <w:t>GraphPad</w:t>
      </w:r>
      <w:proofErr w:type="spellEnd"/>
      <w:r w:rsidRPr="00844D3A">
        <w:t>), and IC</w:t>
      </w:r>
      <w:r w:rsidRPr="00844D3A">
        <w:rPr>
          <w:vertAlign w:val="subscript"/>
        </w:rPr>
        <w:t>50</w:t>
      </w:r>
      <w:r w:rsidRPr="00844D3A">
        <w:t xml:space="preserve"> values were extracted. For each cell line, an average of IC</w:t>
      </w:r>
      <w:r w:rsidRPr="00844D3A">
        <w:rPr>
          <w:vertAlign w:val="subscript"/>
        </w:rPr>
        <w:t>50</w:t>
      </w:r>
      <w:r w:rsidRPr="00844D3A">
        <w:t xml:space="preserve"> values between the runs was reported. </w:t>
      </w:r>
    </w:p>
    <w:p w14:paraId="384BC189" w14:textId="77777777" w:rsidR="008610EA" w:rsidRPr="00844D3A" w:rsidRDefault="008610EA" w:rsidP="00541A80">
      <w:pPr>
        <w:autoSpaceDE w:val="0"/>
        <w:autoSpaceDN w:val="0"/>
        <w:adjustRightInd w:val="0"/>
        <w:spacing w:line="480" w:lineRule="auto"/>
        <w:rPr>
          <w:b/>
        </w:rPr>
      </w:pPr>
    </w:p>
    <w:p w14:paraId="5C1DBBD1" w14:textId="77777777" w:rsidR="00541A80" w:rsidRPr="00844D3A" w:rsidRDefault="00541A80" w:rsidP="00541A80">
      <w:pPr>
        <w:spacing w:line="480" w:lineRule="auto"/>
      </w:pPr>
      <w:proofErr w:type="gramStart"/>
      <w:r w:rsidRPr="00844D3A">
        <w:rPr>
          <w:b/>
        </w:rPr>
        <w:t>Synthesis of BI-69A11 derivatives</w:t>
      </w:r>
      <w:r w:rsidRPr="00844D3A">
        <w:t>.</w:t>
      </w:r>
      <w:proofErr w:type="gramEnd"/>
      <w:r w:rsidRPr="00844D3A">
        <w:t xml:space="preserve"> All reactions involving air and moisture-sensitive reagents and solvents were performed under a nitrogen atmosphere using standard chemical techniques. Anhydrous solvents were purchased from Sigma-Aldrich or EMD Biosciences and used when fresh. All organic reagents were used as purchased. All synthesized final compounds were determined to be </w:t>
      </w:r>
      <w:proofErr w:type="gramStart"/>
      <w:r w:rsidRPr="00844D3A">
        <w:t xml:space="preserve">≥ 95% pure by LC-MS. Compound identity was verified by </w:t>
      </w:r>
      <w:r w:rsidRPr="00844D3A">
        <w:rPr>
          <w:vertAlign w:val="superscript"/>
        </w:rPr>
        <w:t>1</w:t>
      </w:r>
      <w:r w:rsidRPr="00844D3A">
        <w:t>H NMR</w:t>
      </w:r>
      <w:proofErr w:type="gramEnd"/>
      <w:r w:rsidRPr="00844D3A">
        <w:t>.</w:t>
      </w:r>
    </w:p>
    <w:p w14:paraId="7BBB2759" w14:textId="77777777" w:rsidR="00541A80" w:rsidRPr="00844D3A" w:rsidRDefault="00541A80" w:rsidP="00541A80">
      <w:pPr>
        <w:autoSpaceDE w:val="0"/>
        <w:autoSpaceDN w:val="0"/>
        <w:adjustRightInd w:val="0"/>
        <w:spacing w:line="480" w:lineRule="auto"/>
      </w:pPr>
    </w:p>
    <w:p w14:paraId="55E18D26" w14:textId="77777777" w:rsidR="00541A80" w:rsidRPr="00844D3A" w:rsidRDefault="00541A80" w:rsidP="00541A80">
      <w:pPr>
        <w:spacing w:line="480" w:lineRule="auto"/>
      </w:pPr>
      <w:proofErr w:type="gramStart"/>
      <w:r w:rsidRPr="00844D3A">
        <w:rPr>
          <w:b/>
        </w:rPr>
        <w:t>General procedure for the synthesis of SBI-756</w:t>
      </w:r>
      <w:r w:rsidRPr="00844D3A">
        <w:t>.</w:t>
      </w:r>
      <w:proofErr w:type="gramEnd"/>
      <w:r w:rsidRPr="00844D3A">
        <w:t xml:space="preserve"> </w:t>
      </w:r>
      <w:r w:rsidRPr="00844D3A">
        <w:rPr>
          <w:rFonts w:cs="Helvetica"/>
        </w:rPr>
        <w:t xml:space="preserve">Step 1: </w:t>
      </w:r>
      <w:r w:rsidRPr="00844D3A">
        <w:rPr>
          <w:lang w:eastAsia="zh-CN"/>
        </w:rPr>
        <w:t xml:space="preserve">A mixture of </w:t>
      </w:r>
      <w:r w:rsidRPr="00844D3A">
        <w:t>(2-</w:t>
      </w:r>
      <w:r w:rsidRPr="00844D3A">
        <w:rPr>
          <w:lang w:eastAsia="zh-CN"/>
        </w:rPr>
        <w:t>a</w:t>
      </w:r>
      <w:r w:rsidRPr="00844D3A">
        <w:t>mino-5-chloro-phenyl)-</w:t>
      </w:r>
      <w:r w:rsidRPr="00844D3A">
        <w:rPr>
          <w:lang w:eastAsia="zh-CN"/>
        </w:rPr>
        <w:t>p</w:t>
      </w:r>
      <w:r w:rsidRPr="00844D3A">
        <w:t>henyl-</w:t>
      </w:r>
      <w:proofErr w:type="spellStart"/>
      <w:r w:rsidRPr="00844D3A">
        <w:t>methanone</w:t>
      </w:r>
      <w:proofErr w:type="spellEnd"/>
      <w:r w:rsidRPr="00844D3A">
        <w:t xml:space="preserve"> (2</w:t>
      </w:r>
      <w:r w:rsidRPr="00844D3A">
        <w:rPr>
          <w:lang w:eastAsia="zh-CN"/>
        </w:rPr>
        <w:t>.0</w:t>
      </w:r>
      <w:r w:rsidRPr="00844D3A">
        <w:t xml:space="preserve"> g, 8.7</w:t>
      </w:r>
      <w:r w:rsidRPr="00844D3A">
        <w:rPr>
          <w:lang w:eastAsia="zh-CN"/>
        </w:rPr>
        <w:t>0</w:t>
      </w:r>
      <w:r w:rsidRPr="00844D3A">
        <w:t xml:space="preserve"> </w:t>
      </w:r>
      <w:proofErr w:type="spellStart"/>
      <w:r w:rsidRPr="00844D3A">
        <w:t>mmol</w:t>
      </w:r>
      <w:proofErr w:type="spellEnd"/>
      <w:r w:rsidRPr="00844D3A">
        <w:t>) and 3-</w:t>
      </w:r>
      <w:r w:rsidRPr="00844D3A">
        <w:rPr>
          <w:lang w:eastAsia="zh-CN"/>
        </w:rPr>
        <w:t>o</w:t>
      </w:r>
      <w:r w:rsidRPr="00844D3A">
        <w:t>xo-butyric acid ethyl ester (1.13 g, 8.7</w:t>
      </w:r>
      <w:r w:rsidRPr="00844D3A">
        <w:rPr>
          <w:lang w:eastAsia="zh-CN"/>
        </w:rPr>
        <w:t>0</w:t>
      </w:r>
      <w:r w:rsidRPr="00844D3A">
        <w:t xml:space="preserve"> </w:t>
      </w:r>
      <w:proofErr w:type="spellStart"/>
      <w:r w:rsidRPr="00844D3A">
        <w:t>mmol</w:t>
      </w:r>
      <w:proofErr w:type="spellEnd"/>
      <w:r w:rsidRPr="00844D3A">
        <w:t>)</w:t>
      </w:r>
      <w:r w:rsidRPr="00844D3A">
        <w:rPr>
          <w:lang w:eastAsia="zh-CN"/>
        </w:rPr>
        <w:t xml:space="preserve"> was </w:t>
      </w:r>
      <w:r w:rsidRPr="00844D3A">
        <w:t xml:space="preserve">heated </w:t>
      </w:r>
      <w:r w:rsidRPr="00844D3A">
        <w:rPr>
          <w:lang w:eastAsia="zh-CN"/>
        </w:rPr>
        <w:t>to</w:t>
      </w:r>
      <w:r w:rsidRPr="00844D3A">
        <w:t xml:space="preserve"> 160</w:t>
      </w:r>
      <w:r w:rsidRPr="00844D3A">
        <w:rPr>
          <w:rFonts w:ascii="Cambria" w:hAnsi="Cambria"/>
        </w:rPr>
        <w:t>°</w:t>
      </w:r>
      <w:r w:rsidRPr="00844D3A">
        <w:t xml:space="preserve">C with stirring for 3 h. The reaction was cooled to room temperature and the yellow solid was recrystallized </w:t>
      </w:r>
      <w:r w:rsidRPr="00844D3A">
        <w:rPr>
          <w:lang w:eastAsia="zh-CN"/>
        </w:rPr>
        <w:t xml:space="preserve">from </w:t>
      </w:r>
      <w:proofErr w:type="spellStart"/>
      <w:r w:rsidRPr="00844D3A">
        <w:t>EtOH</w:t>
      </w:r>
      <w:proofErr w:type="spellEnd"/>
      <w:r w:rsidRPr="00844D3A">
        <w:t xml:space="preserve"> to afford 3-</w:t>
      </w:r>
      <w:r w:rsidRPr="00844D3A">
        <w:rPr>
          <w:lang w:eastAsia="zh-CN"/>
        </w:rPr>
        <w:t>a</w:t>
      </w:r>
      <w:r w:rsidRPr="00844D3A">
        <w:t>cetyl-6-chloro-4-phenyl-1H-quinolin-2-one</w:t>
      </w:r>
      <w:r w:rsidRPr="00844D3A">
        <w:rPr>
          <w:lang w:eastAsia="zh-CN"/>
        </w:rPr>
        <w:t xml:space="preserve"> </w:t>
      </w:r>
      <w:r w:rsidRPr="00844D3A">
        <w:t>(1.3</w:t>
      </w:r>
      <w:r w:rsidRPr="00844D3A">
        <w:rPr>
          <w:lang w:eastAsia="zh-CN"/>
        </w:rPr>
        <w:t>0</w:t>
      </w:r>
      <w:r w:rsidRPr="00844D3A">
        <w:t xml:space="preserve"> g</w:t>
      </w:r>
      <w:r w:rsidRPr="00844D3A">
        <w:rPr>
          <w:lang w:eastAsia="zh-CN"/>
        </w:rPr>
        <w:t>,</w:t>
      </w:r>
      <w:r w:rsidRPr="00844D3A">
        <w:t xml:space="preserve"> yield: 50%)</w:t>
      </w:r>
      <w:r w:rsidRPr="00844D3A">
        <w:rPr>
          <w:lang w:eastAsia="zh-CN"/>
        </w:rPr>
        <w:t xml:space="preserve"> </w:t>
      </w:r>
      <w:r w:rsidRPr="00844D3A">
        <w:t xml:space="preserve">as </w:t>
      </w:r>
      <w:r w:rsidRPr="00844D3A">
        <w:rPr>
          <w:lang w:eastAsia="zh-CN"/>
        </w:rPr>
        <w:t xml:space="preserve">a </w:t>
      </w:r>
      <w:r w:rsidRPr="00844D3A">
        <w:t xml:space="preserve">yellow solid. </w:t>
      </w:r>
      <w:r w:rsidRPr="00844D3A">
        <w:rPr>
          <w:rFonts w:cs="Helvetica"/>
        </w:rPr>
        <w:t>Step 2: 3-Acetyl-6-chloro-4-phenylquinolin-</w:t>
      </w:r>
      <w:proofErr w:type="gramStart"/>
      <w:r w:rsidRPr="00844D3A">
        <w:rPr>
          <w:rFonts w:cs="Helvetica"/>
        </w:rPr>
        <w:t>2(</w:t>
      </w:r>
      <w:proofErr w:type="gramEnd"/>
      <w:r w:rsidRPr="00844D3A">
        <w:rPr>
          <w:rFonts w:cs="Helvetica"/>
        </w:rPr>
        <w:t>1</w:t>
      </w:r>
      <w:r w:rsidRPr="00844D3A">
        <w:rPr>
          <w:rFonts w:cs="Helvetica"/>
          <w:i/>
          <w:iCs/>
        </w:rPr>
        <w:t>H</w:t>
      </w:r>
      <w:r w:rsidRPr="00844D3A">
        <w:rPr>
          <w:rFonts w:cs="Helvetica"/>
        </w:rPr>
        <w:t xml:space="preserve">)-one </w:t>
      </w:r>
      <w:r w:rsidRPr="00844D3A">
        <w:t xml:space="preserve">(1 </w:t>
      </w:r>
      <w:proofErr w:type="spellStart"/>
      <w:r w:rsidRPr="00844D3A">
        <w:t>eq</w:t>
      </w:r>
      <w:proofErr w:type="spellEnd"/>
      <w:r w:rsidRPr="00844D3A">
        <w:t xml:space="preserve">), </w:t>
      </w:r>
      <w:r w:rsidRPr="00844D3A">
        <w:rPr>
          <w:rFonts w:cs="Helvetica"/>
        </w:rPr>
        <w:t>5-fluoronicotinaldehyde (</w:t>
      </w:r>
      <w:r w:rsidRPr="00844D3A">
        <w:t xml:space="preserve">1.1 </w:t>
      </w:r>
      <w:proofErr w:type="spellStart"/>
      <w:r w:rsidRPr="00844D3A">
        <w:t>eq</w:t>
      </w:r>
      <w:proofErr w:type="spellEnd"/>
      <w:r w:rsidRPr="00844D3A">
        <w:t xml:space="preserve">) and </w:t>
      </w:r>
      <w:proofErr w:type="spellStart"/>
      <w:r w:rsidRPr="00844D3A">
        <w:t>NaOH</w:t>
      </w:r>
      <w:proofErr w:type="spellEnd"/>
      <w:r w:rsidRPr="00844D3A">
        <w:t xml:space="preserve"> (1.1 </w:t>
      </w:r>
      <w:proofErr w:type="spellStart"/>
      <w:r w:rsidRPr="00844D3A">
        <w:t>eq</w:t>
      </w:r>
      <w:proofErr w:type="spellEnd"/>
      <w:r w:rsidRPr="00844D3A">
        <w:t xml:space="preserve">) was dissolved in </w:t>
      </w:r>
      <w:proofErr w:type="spellStart"/>
      <w:r w:rsidRPr="00844D3A">
        <w:t>EtOH</w:t>
      </w:r>
      <w:proofErr w:type="spellEnd"/>
      <w:r w:rsidRPr="00844D3A">
        <w:t xml:space="preserve">. The </w:t>
      </w:r>
      <w:r w:rsidRPr="00844D3A">
        <w:lastRenderedPageBreak/>
        <w:t>mixture was stirred for at 40</w:t>
      </w:r>
      <w:r w:rsidRPr="00844D3A">
        <w:rPr>
          <w:rFonts w:ascii="Cambria" w:hAnsi="Cambria"/>
        </w:rPr>
        <w:t>°</w:t>
      </w:r>
      <w:r w:rsidRPr="00844D3A">
        <w:t xml:space="preserve">C </w:t>
      </w:r>
      <w:r w:rsidRPr="00844D3A">
        <w:rPr>
          <w:lang w:eastAsia="zh-CN"/>
        </w:rPr>
        <w:t xml:space="preserve">for </w:t>
      </w:r>
      <w:r w:rsidRPr="00844D3A">
        <w:t>1 h.</w:t>
      </w:r>
      <w:r w:rsidRPr="00844D3A">
        <w:rPr>
          <w:lang w:eastAsia="zh-CN"/>
        </w:rPr>
        <w:t xml:space="preserve"> After cooling to room temperature, the mixture was diluted with </w:t>
      </w:r>
      <w:r w:rsidRPr="00844D3A">
        <w:t>water</w:t>
      </w:r>
      <w:r w:rsidRPr="00844D3A">
        <w:rPr>
          <w:lang w:eastAsia="zh-CN"/>
        </w:rPr>
        <w:t xml:space="preserve"> and the pH was </w:t>
      </w:r>
      <w:r w:rsidRPr="00844D3A">
        <w:t xml:space="preserve">adjusted to 8. </w:t>
      </w:r>
      <w:r w:rsidRPr="00844D3A">
        <w:rPr>
          <w:lang w:eastAsia="zh-CN"/>
        </w:rPr>
        <w:t xml:space="preserve">The resulting solid was collected by filtration and </w:t>
      </w:r>
      <w:r w:rsidRPr="00844D3A">
        <w:t>purified by pre</w:t>
      </w:r>
      <w:r w:rsidRPr="00844D3A">
        <w:rPr>
          <w:lang w:eastAsia="zh-CN"/>
        </w:rPr>
        <w:t>p</w:t>
      </w:r>
      <w:r w:rsidRPr="00844D3A">
        <w:t>-</w:t>
      </w:r>
      <w:r w:rsidRPr="00844D3A">
        <w:rPr>
          <w:lang w:eastAsia="zh-CN"/>
        </w:rPr>
        <w:t>T</w:t>
      </w:r>
      <w:r w:rsidRPr="00844D3A">
        <w:t xml:space="preserve">LC to afford </w:t>
      </w:r>
      <w:r w:rsidRPr="00844D3A">
        <w:rPr>
          <w:rFonts w:ascii="Cambria" w:hAnsi="Cambria"/>
          <w:lang w:val="pt-BR" w:eastAsia="zh-CN"/>
        </w:rPr>
        <w:t>6-Chloro-3</w:t>
      </w:r>
      <w:proofErr w:type="gramStart"/>
      <w:r w:rsidRPr="00844D3A">
        <w:rPr>
          <w:rFonts w:ascii="Cambria" w:hAnsi="Cambria"/>
          <w:lang w:val="pt-BR" w:eastAsia="zh-CN"/>
        </w:rPr>
        <w:t>-[</w:t>
      </w:r>
      <w:proofErr w:type="gramEnd"/>
      <w:r w:rsidRPr="00844D3A">
        <w:rPr>
          <w:rFonts w:ascii="Cambria" w:hAnsi="Cambria"/>
          <w:lang w:val="pt-BR" w:eastAsia="zh-CN"/>
        </w:rPr>
        <w:t>3-(5-fluoro-pyridin-3-yl)-</w:t>
      </w:r>
      <w:proofErr w:type="spellStart"/>
      <w:r w:rsidRPr="00844D3A">
        <w:rPr>
          <w:rFonts w:ascii="Cambria" w:hAnsi="Cambria"/>
          <w:lang w:val="pt-BR" w:eastAsia="zh-CN"/>
        </w:rPr>
        <w:t>acryloyl</w:t>
      </w:r>
      <w:proofErr w:type="spellEnd"/>
      <w:r w:rsidRPr="00844D3A">
        <w:rPr>
          <w:rFonts w:ascii="Cambria" w:hAnsi="Cambria"/>
          <w:lang w:val="pt-BR" w:eastAsia="zh-CN"/>
        </w:rPr>
        <w:t>]-4-phenyl-1H-quinolin-2-one</w:t>
      </w:r>
      <w:r w:rsidRPr="00844D3A">
        <w:rPr>
          <w:rFonts w:ascii="Cambria" w:hAnsi="Cambria" w:cs="Helvetica"/>
        </w:rPr>
        <w:t xml:space="preserve"> </w:t>
      </w:r>
      <w:r w:rsidRPr="00844D3A">
        <w:t>(yield: 53%)</w:t>
      </w:r>
      <w:r w:rsidRPr="00844D3A">
        <w:rPr>
          <w:lang w:eastAsia="zh-CN"/>
        </w:rPr>
        <w:t xml:space="preserve"> </w:t>
      </w:r>
      <w:r w:rsidRPr="00844D3A">
        <w:t xml:space="preserve">as </w:t>
      </w:r>
      <w:r w:rsidRPr="00844D3A">
        <w:rPr>
          <w:lang w:eastAsia="zh-CN"/>
        </w:rPr>
        <w:t xml:space="preserve">a </w:t>
      </w:r>
      <w:r w:rsidRPr="00844D3A">
        <w:t>yellow solid</w:t>
      </w:r>
      <w:r w:rsidRPr="00844D3A">
        <w:rPr>
          <w:rFonts w:cs="Helvetica"/>
        </w:rPr>
        <w:t xml:space="preserve">. </w:t>
      </w:r>
      <w:r w:rsidRPr="00844D3A">
        <w:rPr>
          <w:vertAlign w:val="superscript"/>
          <w:lang w:val="pt-BR"/>
        </w:rPr>
        <w:t>1</w:t>
      </w:r>
      <w:r w:rsidRPr="00844D3A">
        <w:rPr>
          <w:lang w:val="pt-BR"/>
        </w:rPr>
        <w:t>H NMR (300 MHz, DMSO-</w:t>
      </w:r>
      <w:r w:rsidRPr="00844D3A">
        <w:rPr>
          <w:i/>
          <w:lang w:val="pt-BR"/>
        </w:rPr>
        <w:t>d6</w:t>
      </w:r>
      <w:r w:rsidRPr="00844D3A">
        <w:rPr>
          <w:lang w:val="pt-BR"/>
        </w:rPr>
        <w:t xml:space="preserve">): </w:t>
      </w:r>
      <w:r w:rsidRPr="00844D3A">
        <w:t>δ</w:t>
      </w:r>
      <w:r w:rsidRPr="00844D3A">
        <w:rPr>
          <w:lang w:val="pt-BR"/>
        </w:rPr>
        <w:t xml:space="preserve"> = 12.39</w:t>
      </w:r>
      <w:r w:rsidRPr="00844D3A">
        <w:rPr>
          <w:lang w:val="pt-BR" w:eastAsia="zh-CN"/>
        </w:rPr>
        <w:t xml:space="preserve"> </w:t>
      </w:r>
      <w:r w:rsidRPr="00844D3A">
        <w:rPr>
          <w:lang w:val="pt-BR"/>
        </w:rPr>
        <w:t>(</w:t>
      </w:r>
      <w:r w:rsidRPr="00844D3A">
        <w:rPr>
          <w:lang w:val="pt-BR" w:eastAsia="zh-CN"/>
        </w:rPr>
        <w:t>s</w:t>
      </w:r>
      <w:r w:rsidRPr="00844D3A">
        <w:rPr>
          <w:lang w:val="pt-BR"/>
        </w:rPr>
        <w:t xml:space="preserve">, </w:t>
      </w:r>
      <w:r w:rsidRPr="00844D3A">
        <w:rPr>
          <w:lang w:val="pt-BR" w:eastAsia="zh-CN"/>
        </w:rPr>
        <w:t>1H</w:t>
      </w:r>
      <w:r w:rsidRPr="00844D3A">
        <w:rPr>
          <w:lang w:val="pt-BR"/>
        </w:rPr>
        <w:t>), 8.71 (</w:t>
      </w:r>
      <w:r w:rsidRPr="00844D3A">
        <w:rPr>
          <w:lang w:val="pt-BR" w:eastAsia="zh-CN"/>
        </w:rPr>
        <w:t>s</w:t>
      </w:r>
      <w:r w:rsidRPr="00844D3A">
        <w:rPr>
          <w:lang w:val="pt-BR"/>
        </w:rPr>
        <w:t xml:space="preserve">, </w:t>
      </w:r>
      <w:r w:rsidRPr="00844D3A">
        <w:rPr>
          <w:lang w:val="pt-BR" w:eastAsia="zh-CN"/>
        </w:rPr>
        <w:t>1H</w:t>
      </w:r>
      <w:r w:rsidRPr="00844D3A">
        <w:rPr>
          <w:lang w:val="pt-BR"/>
        </w:rPr>
        <w:t>), 8.</w:t>
      </w:r>
      <w:r w:rsidRPr="00844D3A">
        <w:rPr>
          <w:lang w:val="pt-BR" w:eastAsia="zh-CN"/>
        </w:rPr>
        <w:t>59</w:t>
      </w:r>
      <w:r w:rsidRPr="00844D3A">
        <w:rPr>
          <w:lang w:val="pt-BR"/>
        </w:rPr>
        <w:t xml:space="preserve"> (</w:t>
      </w:r>
      <w:r w:rsidRPr="00844D3A">
        <w:rPr>
          <w:lang w:val="pt-BR" w:eastAsia="zh-CN"/>
        </w:rPr>
        <w:t>s</w:t>
      </w:r>
      <w:r w:rsidRPr="00844D3A">
        <w:rPr>
          <w:lang w:val="pt-BR"/>
        </w:rPr>
        <w:t xml:space="preserve">, </w:t>
      </w:r>
      <w:r w:rsidRPr="00844D3A">
        <w:rPr>
          <w:lang w:val="pt-BR" w:eastAsia="zh-CN"/>
        </w:rPr>
        <w:t>1H</w:t>
      </w:r>
      <w:r w:rsidRPr="00844D3A">
        <w:rPr>
          <w:lang w:val="pt-BR"/>
        </w:rPr>
        <w:t>),</w:t>
      </w:r>
      <w:r w:rsidRPr="00844D3A">
        <w:rPr>
          <w:lang w:val="pt-BR" w:eastAsia="zh-CN"/>
        </w:rPr>
        <w:t xml:space="preserve"> </w:t>
      </w:r>
      <w:r w:rsidRPr="00844D3A">
        <w:rPr>
          <w:lang w:val="pt-BR"/>
        </w:rPr>
        <w:t>8.1</w:t>
      </w:r>
      <w:r w:rsidRPr="00844D3A">
        <w:rPr>
          <w:lang w:val="pt-BR" w:eastAsia="zh-CN"/>
        </w:rPr>
        <w:t>2</w:t>
      </w:r>
      <w:r w:rsidRPr="00844D3A">
        <w:rPr>
          <w:lang w:val="pt-BR"/>
        </w:rPr>
        <w:t xml:space="preserve"> (</w:t>
      </w:r>
      <w:r w:rsidRPr="00844D3A">
        <w:rPr>
          <w:lang w:val="pt-BR" w:eastAsia="zh-CN"/>
        </w:rPr>
        <w:t>d</w:t>
      </w:r>
      <w:r w:rsidRPr="00844D3A">
        <w:rPr>
          <w:lang w:val="pt-BR"/>
        </w:rPr>
        <w:t xml:space="preserve">, </w:t>
      </w:r>
      <w:r w:rsidRPr="00844D3A">
        <w:rPr>
          <w:i/>
          <w:lang w:val="pt-BR"/>
        </w:rPr>
        <w:t>J</w:t>
      </w:r>
      <w:r w:rsidRPr="00844D3A">
        <w:rPr>
          <w:lang w:val="pt-BR"/>
        </w:rPr>
        <w:t xml:space="preserve"> = </w:t>
      </w:r>
      <w:r w:rsidRPr="00844D3A">
        <w:rPr>
          <w:lang w:val="pt-BR" w:eastAsia="zh-CN"/>
        </w:rPr>
        <w:t>9.0</w:t>
      </w:r>
      <w:r w:rsidRPr="00844D3A">
        <w:rPr>
          <w:lang w:val="pt-BR"/>
        </w:rPr>
        <w:t xml:space="preserve"> Hz, </w:t>
      </w:r>
      <w:r w:rsidRPr="00844D3A">
        <w:rPr>
          <w:lang w:val="pt-BR" w:eastAsia="zh-CN"/>
        </w:rPr>
        <w:t>1</w:t>
      </w:r>
      <w:r w:rsidRPr="00844D3A">
        <w:rPr>
          <w:lang w:val="pt-BR"/>
        </w:rPr>
        <w:t>H), 7.69-7.43 (</w:t>
      </w:r>
      <w:r w:rsidRPr="00844D3A">
        <w:rPr>
          <w:lang w:val="pt-BR" w:eastAsia="zh-CN"/>
        </w:rPr>
        <w:t>m</w:t>
      </w:r>
      <w:r w:rsidRPr="00844D3A">
        <w:rPr>
          <w:lang w:val="pt-BR"/>
        </w:rPr>
        <w:t xml:space="preserve">, </w:t>
      </w:r>
      <w:r w:rsidRPr="00844D3A">
        <w:rPr>
          <w:lang w:val="pt-BR" w:eastAsia="zh-CN"/>
        </w:rPr>
        <w:t>6H</w:t>
      </w:r>
      <w:r w:rsidRPr="00844D3A">
        <w:rPr>
          <w:lang w:val="pt-BR"/>
        </w:rPr>
        <w:t xml:space="preserve">), </w:t>
      </w:r>
      <w:r w:rsidRPr="00844D3A">
        <w:rPr>
          <w:lang w:val="pt-BR" w:eastAsia="zh-CN"/>
        </w:rPr>
        <w:t>7.34-7.31</w:t>
      </w:r>
      <w:r w:rsidRPr="00844D3A">
        <w:rPr>
          <w:lang w:val="pt-BR"/>
        </w:rPr>
        <w:t xml:space="preserve"> (</w:t>
      </w:r>
      <w:r w:rsidRPr="00844D3A">
        <w:rPr>
          <w:lang w:val="pt-BR" w:eastAsia="zh-CN"/>
        </w:rPr>
        <w:t>m</w:t>
      </w:r>
      <w:r w:rsidRPr="00844D3A">
        <w:rPr>
          <w:lang w:val="pt-BR"/>
        </w:rPr>
        <w:t xml:space="preserve">, </w:t>
      </w:r>
      <w:r w:rsidRPr="00844D3A">
        <w:rPr>
          <w:lang w:val="pt-BR" w:eastAsia="zh-CN"/>
        </w:rPr>
        <w:t>2H</w:t>
      </w:r>
      <w:r w:rsidRPr="00844D3A">
        <w:rPr>
          <w:lang w:val="pt-BR"/>
        </w:rPr>
        <w:t>),</w:t>
      </w:r>
      <w:r w:rsidRPr="00844D3A">
        <w:rPr>
          <w:lang w:val="pt-BR" w:eastAsia="zh-CN"/>
        </w:rPr>
        <w:t xml:space="preserve"> 6.99</w:t>
      </w:r>
      <w:r w:rsidRPr="00844D3A">
        <w:rPr>
          <w:lang w:val="pt-BR"/>
        </w:rPr>
        <w:t xml:space="preserve"> (</w:t>
      </w:r>
      <w:r w:rsidRPr="00844D3A">
        <w:rPr>
          <w:lang w:val="pt-BR" w:eastAsia="zh-CN"/>
        </w:rPr>
        <w:t>t</w:t>
      </w:r>
      <w:r w:rsidRPr="00844D3A">
        <w:rPr>
          <w:lang w:val="pt-BR"/>
        </w:rPr>
        <w:t xml:space="preserve">, </w:t>
      </w:r>
      <w:r w:rsidRPr="00844D3A">
        <w:rPr>
          <w:i/>
          <w:lang w:val="pt-BR"/>
        </w:rPr>
        <w:t>J</w:t>
      </w:r>
      <w:r w:rsidRPr="00844D3A">
        <w:rPr>
          <w:lang w:val="pt-BR"/>
        </w:rPr>
        <w:t xml:space="preserve"> = </w:t>
      </w:r>
      <w:r w:rsidRPr="00844D3A">
        <w:rPr>
          <w:lang w:val="pt-BR" w:eastAsia="zh-CN"/>
        </w:rPr>
        <w:t>8.2</w:t>
      </w:r>
      <w:r w:rsidRPr="00844D3A">
        <w:rPr>
          <w:lang w:val="pt-BR"/>
        </w:rPr>
        <w:t xml:space="preserve"> Hz, </w:t>
      </w:r>
      <w:r w:rsidRPr="00844D3A">
        <w:rPr>
          <w:lang w:val="pt-BR" w:eastAsia="zh-CN"/>
        </w:rPr>
        <w:t>2</w:t>
      </w:r>
      <w:r w:rsidRPr="00844D3A">
        <w:rPr>
          <w:lang w:val="pt-BR"/>
        </w:rPr>
        <w:t>H) . MS: m/z 405.1 (M+H</w:t>
      </w:r>
      <w:r w:rsidRPr="00844D3A">
        <w:rPr>
          <w:vertAlign w:val="superscript"/>
          <w:lang w:val="pt-BR"/>
        </w:rPr>
        <w:t>+</w:t>
      </w:r>
      <w:r w:rsidRPr="00844D3A">
        <w:rPr>
          <w:lang w:val="pt-BR"/>
        </w:rPr>
        <w:t>).</w:t>
      </w:r>
    </w:p>
    <w:p w14:paraId="48F0C28C" w14:textId="77777777" w:rsidR="00541A80" w:rsidRPr="00844D3A" w:rsidRDefault="00541A80" w:rsidP="00541A80">
      <w:pPr>
        <w:autoSpaceDE w:val="0"/>
        <w:autoSpaceDN w:val="0"/>
        <w:adjustRightInd w:val="0"/>
        <w:spacing w:line="480" w:lineRule="auto"/>
      </w:pPr>
    </w:p>
    <w:p w14:paraId="5764433C" w14:textId="77777777" w:rsidR="00541A80" w:rsidRPr="00844D3A" w:rsidRDefault="00541A80" w:rsidP="00541A80">
      <w:pPr>
        <w:autoSpaceDE w:val="0"/>
        <w:autoSpaceDN w:val="0"/>
        <w:adjustRightInd w:val="0"/>
        <w:spacing w:line="480" w:lineRule="auto"/>
      </w:pPr>
      <w:r w:rsidRPr="00844D3A">
        <w:rPr>
          <w:b/>
        </w:rPr>
        <w:t>High-throughput screen</w:t>
      </w:r>
      <w:r w:rsidRPr="00844D3A">
        <w:t>. Melanoma lines WM793, Lu1205, WM1346, and WM1366 were plated in 384-well plates at 1500</w:t>
      </w:r>
      <w:r w:rsidRPr="00844D3A">
        <w:rPr>
          <w:b/>
        </w:rPr>
        <w:t xml:space="preserve"> </w:t>
      </w:r>
      <w:r w:rsidRPr="00844D3A">
        <w:t>cells/well. After incubation at 37°C overnight, relevant compounds dissolved in DMSO were serially diluted 2-fold from stock solutions and added to wells using an Echo555 acoustic dispenser (</w:t>
      </w:r>
      <w:proofErr w:type="spellStart"/>
      <w:r w:rsidRPr="00844D3A">
        <w:t>Labcyte</w:t>
      </w:r>
      <w:proofErr w:type="spellEnd"/>
      <w:r w:rsidRPr="00844D3A">
        <w:t xml:space="preserve">); the highest drug concentration was 10 µM and that of DMSO was 0.1%. </w:t>
      </w:r>
      <w:r w:rsidRPr="00844D3A">
        <w:rPr>
          <w:shd w:val="clear" w:color="auto" w:fill="FFFFFF"/>
        </w:rPr>
        <w:t xml:space="preserve">Cell viability was assessed using </w:t>
      </w:r>
      <w:proofErr w:type="spellStart"/>
      <w:r w:rsidRPr="00844D3A">
        <w:rPr>
          <w:shd w:val="clear" w:color="auto" w:fill="FFFFFF"/>
        </w:rPr>
        <w:t>ATPlite</w:t>
      </w:r>
      <w:proofErr w:type="spellEnd"/>
      <w:r w:rsidRPr="00844D3A">
        <w:rPr>
          <w:shd w:val="clear" w:color="auto" w:fill="FFFFFF"/>
        </w:rPr>
        <w:t xml:space="preserve"> after a 48-h incubation. Cell growth inhibition was calculated as a percentage of DMSO-treated controls. </w:t>
      </w:r>
      <w:r w:rsidRPr="00844D3A">
        <w:t>IC</w:t>
      </w:r>
      <w:r w:rsidRPr="00844D3A">
        <w:rPr>
          <w:vertAlign w:val="subscript"/>
        </w:rPr>
        <w:t>50</w:t>
      </w:r>
      <w:r w:rsidRPr="00844D3A">
        <w:t xml:space="preserve"> values were calculated using </w:t>
      </w:r>
      <w:proofErr w:type="spellStart"/>
      <w:r w:rsidRPr="00844D3A">
        <w:t>GraphPad</w:t>
      </w:r>
      <w:proofErr w:type="spellEnd"/>
      <w:r w:rsidRPr="00844D3A">
        <w:t xml:space="preserve"> Prism. </w:t>
      </w:r>
    </w:p>
    <w:p w14:paraId="3C742E7D" w14:textId="77777777" w:rsidR="00541A80" w:rsidRPr="00844D3A" w:rsidRDefault="00541A80" w:rsidP="00541A80">
      <w:pPr>
        <w:autoSpaceDE w:val="0"/>
        <w:autoSpaceDN w:val="0"/>
        <w:adjustRightInd w:val="0"/>
        <w:spacing w:line="480" w:lineRule="auto"/>
        <w:rPr>
          <w:b/>
        </w:rPr>
      </w:pPr>
      <w:r w:rsidRPr="00844D3A">
        <w:t xml:space="preserve"> </w:t>
      </w:r>
    </w:p>
    <w:p w14:paraId="50283525" w14:textId="55F92CD2" w:rsidR="00541A80" w:rsidRPr="00844D3A" w:rsidRDefault="00541A80" w:rsidP="00541A80">
      <w:pPr>
        <w:spacing w:line="480" w:lineRule="auto"/>
      </w:pPr>
      <w:proofErr w:type="gramStart"/>
      <w:r w:rsidRPr="00844D3A">
        <w:rPr>
          <w:b/>
        </w:rPr>
        <w:t>Reagents and drug treatment protocol</w:t>
      </w:r>
      <w:r w:rsidRPr="00844D3A">
        <w:t>.</w:t>
      </w:r>
      <w:proofErr w:type="gramEnd"/>
      <w:r w:rsidRPr="00844D3A">
        <w:t xml:space="preserve"> BI-69A11 and derivatives were synthesized and purified by SBMRI as described and reported </w:t>
      </w:r>
      <w:r w:rsidR="00EC3E5D" w:rsidRPr="00844D3A">
        <w:t>above</w:t>
      </w:r>
      <w:r w:rsidRPr="00844D3A">
        <w:t xml:space="preserve">. All compounds were maintained as 10 </w:t>
      </w:r>
      <w:proofErr w:type="spellStart"/>
      <w:r w:rsidRPr="00844D3A">
        <w:t>mM</w:t>
      </w:r>
      <w:proofErr w:type="spellEnd"/>
      <w:r w:rsidRPr="00844D3A">
        <w:t xml:space="preserve"> DMSO stocks. PLX4032 was purchased from </w:t>
      </w:r>
      <w:proofErr w:type="spellStart"/>
      <w:r w:rsidRPr="00844D3A">
        <w:t>ChemieTek</w:t>
      </w:r>
      <w:proofErr w:type="spellEnd"/>
      <w:r w:rsidRPr="00844D3A">
        <w:t xml:space="preserve"> (Indianapolis, IN, USA) and PD0325901 from </w:t>
      </w:r>
      <w:proofErr w:type="spellStart"/>
      <w:r w:rsidRPr="00844D3A">
        <w:t>Selleck</w:t>
      </w:r>
      <w:proofErr w:type="spellEnd"/>
      <w:r w:rsidRPr="00844D3A">
        <w:t xml:space="preserve"> Chemicals (</w:t>
      </w:r>
      <w:r w:rsidRPr="00844D3A">
        <w:rPr>
          <w:shd w:val="clear" w:color="auto" w:fill="FAFAFA"/>
        </w:rPr>
        <w:t>Houston, TX, USA).</w:t>
      </w:r>
    </w:p>
    <w:p w14:paraId="318BAE13" w14:textId="6E2642F4" w:rsidR="00541A80" w:rsidRPr="00844D3A" w:rsidRDefault="00541A80" w:rsidP="00541A80">
      <w:pPr>
        <w:spacing w:line="480" w:lineRule="auto"/>
      </w:pPr>
      <w:r w:rsidRPr="00844D3A">
        <w:t>To determine the effect of BI</w:t>
      </w:r>
      <w:r w:rsidR="00EC3E5D" w:rsidRPr="00844D3A">
        <w:t>-69</w:t>
      </w:r>
      <w:r w:rsidRPr="00844D3A">
        <w:t xml:space="preserve">A11 and derivatives, cells were plated to 75% </w:t>
      </w:r>
      <w:proofErr w:type="spellStart"/>
      <w:r w:rsidRPr="00844D3A">
        <w:t>confluency</w:t>
      </w:r>
      <w:proofErr w:type="spellEnd"/>
      <w:r w:rsidRPr="00844D3A">
        <w:t xml:space="preserve"> and grown overnight in 6-well plates. Compounds at different </w:t>
      </w:r>
      <w:r w:rsidRPr="00844D3A">
        <w:lastRenderedPageBreak/>
        <w:t xml:space="preserve">concentrations were added to the plate, cells were then incubated for 6, 12 or 24 h, and lysates were then prepared for Western blot analysis. </w:t>
      </w:r>
    </w:p>
    <w:p w14:paraId="2C285018" w14:textId="77777777" w:rsidR="00541A80" w:rsidRPr="00844D3A" w:rsidRDefault="00541A80" w:rsidP="00541A80">
      <w:pPr>
        <w:autoSpaceDE w:val="0"/>
        <w:autoSpaceDN w:val="0"/>
        <w:adjustRightInd w:val="0"/>
        <w:spacing w:line="480" w:lineRule="auto"/>
        <w:rPr>
          <w:b/>
        </w:rPr>
      </w:pPr>
    </w:p>
    <w:p w14:paraId="219585DB" w14:textId="4CE3745D" w:rsidR="00541A80" w:rsidRPr="00844D3A" w:rsidRDefault="00541A80" w:rsidP="00541A80">
      <w:pPr>
        <w:autoSpaceDE w:val="0"/>
        <w:autoSpaceDN w:val="0"/>
        <w:adjustRightInd w:val="0"/>
        <w:spacing w:line="480" w:lineRule="auto"/>
      </w:pPr>
      <w:r w:rsidRPr="00844D3A">
        <w:rPr>
          <w:b/>
        </w:rPr>
        <w:t>Proliferation assay</w:t>
      </w:r>
      <w:r w:rsidRPr="00844D3A">
        <w:t xml:space="preserve">. WM793, Lu1205, WM1346 and WM1366 melanoma cells were seeded at 1500 cells in 50 </w:t>
      </w:r>
      <w:proofErr w:type="spellStart"/>
      <w:r w:rsidRPr="00844D3A">
        <w:t>μL</w:t>
      </w:r>
      <w:proofErr w:type="spellEnd"/>
      <w:r w:rsidRPr="00844D3A">
        <w:t xml:space="preserve"> per well in 384-well plates. Cells were allowed to attach overnight. BI-69A11 or derivatives were serially diluted 2-fold with media from stock solutions and added to cells. Tests were performed in triplicate, and each </w:t>
      </w:r>
      <w:proofErr w:type="spellStart"/>
      <w:r w:rsidRPr="00844D3A">
        <w:t>microplate</w:t>
      </w:r>
      <w:proofErr w:type="spellEnd"/>
      <w:r w:rsidRPr="00844D3A">
        <w:t xml:space="preserve"> included media and DMSO control wells. </w:t>
      </w:r>
      <w:r w:rsidRPr="00844D3A">
        <w:rPr>
          <w:shd w:val="clear" w:color="auto" w:fill="FFFFFF"/>
        </w:rPr>
        <w:t xml:space="preserve">Cell viability was assessed using </w:t>
      </w:r>
      <w:proofErr w:type="spellStart"/>
      <w:r w:rsidRPr="00844D3A">
        <w:rPr>
          <w:shd w:val="clear" w:color="auto" w:fill="FFFFFF"/>
        </w:rPr>
        <w:t>ATPlite</w:t>
      </w:r>
      <w:proofErr w:type="spellEnd"/>
      <w:r w:rsidRPr="00844D3A">
        <w:rPr>
          <w:shd w:val="clear" w:color="auto" w:fill="FFFFFF"/>
        </w:rPr>
        <w:t xml:space="preserve"> after 48 or 72 h, according to</w:t>
      </w:r>
      <w:r w:rsidRPr="00844D3A">
        <w:t xml:space="preserve"> </w:t>
      </w:r>
      <w:r w:rsidRPr="00844D3A">
        <w:rPr>
          <w:shd w:val="clear" w:color="auto" w:fill="FFFFFF"/>
        </w:rPr>
        <w:t xml:space="preserve">the manufacturer’s protocol. Cell growth inhibition was calculated as a percentage of DMSO-treated controls and plotted against the log drug concentration. </w:t>
      </w:r>
      <w:r w:rsidRPr="00844D3A">
        <w:t>IC</w:t>
      </w:r>
      <w:r w:rsidRPr="00844D3A">
        <w:rPr>
          <w:vertAlign w:val="subscript"/>
        </w:rPr>
        <w:t>50</w:t>
      </w:r>
      <w:r w:rsidRPr="00844D3A">
        <w:t xml:space="preserve"> values were interpolated from the resulting linear regression curve fit (</w:t>
      </w:r>
      <w:proofErr w:type="spellStart"/>
      <w:r w:rsidRPr="00844D3A">
        <w:t>GraphPad</w:t>
      </w:r>
      <w:proofErr w:type="spellEnd"/>
      <w:r w:rsidRPr="00844D3A">
        <w:t xml:space="preserve"> Prism 6).</w:t>
      </w:r>
    </w:p>
    <w:p w14:paraId="003CF3EF" w14:textId="17BCFF06" w:rsidR="00541A80" w:rsidRPr="00844D3A" w:rsidRDefault="00541A80" w:rsidP="00541A80">
      <w:pPr>
        <w:autoSpaceDE w:val="0"/>
        <w:autoSpaceDN w:val="0"/>
        <w:adjustRightInd w:val="0"/>
        <w:spacing w:line="480" w:lineRule="auto"/>
        <w:rPr>
          <w:shd w:val="clear" w:color="auto" w:fill="FFFFFF"/>
        </w:rPr>
      </w:pPr>
      <w:r w:rsidRPr="00844D3A">
        <w:rPr>
          <w:lang w:val="en-CA"/>
        </w:rPr>
        <w:t xml:space="preserve">For the </w:t>
      </w:r>
      <w:proofErr w:type="spellStart"/>
      <w:r w:rsidRPr="00844D3A">
        <w:rPr>
          <w:lang w:val="en-CA"/>
        </w:rPr>
        <w:t>bromodeoxyuridine</w:t>
      </w:r>
      <w:proofErr w:type="spellEnd"/>
      <w:r w:rsidRPr="00844D3A">
        <w:rPr>
          <w:lang w:val="en-CA"/>
        </w:rPr>
        <w:t xml:space="preserve"> (</w:t>
      </w:r>
      <w:proofErr w:type="spellStart"/>
      <w:r w:rsidRPr="00844D3A">
        <w:rPr>
          <w:lang w:val="en-CA"/>
        </w:rPr>
        <w:t>BrdU</w:t>
      </w:r>
      <w:proofErr w:type="spellEnd"/>
      <w:r w:rsidRPr="00844D3A">
        <w:rPr>
          <w:lang w:val="en-CA"/>
        </w:rPr>
        <w:t xml:space="preserve">) incorporation assay (Cell Proliferation ELISA </w:t>
      </w:r>
      <w:proofErr w:type="spellStart"/>
      <w:r w:rsidRPr="00844D3A">
        <w:rPr>
          <w:lang w:val="en-CA"/>
        </w:rPr>
        <w:t>BrdU</w:t>
      </w:r>
      <w:proofErr w:type="spellEnd"/>
      <w:r w:rsidRPr="00844D3A">
        <w:rPr>
          <w:lang w:val="en-CA"/>
        </w:rPr>
        <w:t xml:space="preserve"> Kit from Roche), WT or 4E-BP</w:t>
      </w:r>
      <w:r w:rsidRPr="00844D3A">
        <w:t xml:space="preserve"> DKO </w:t>
      </w:r>
      <w:r w:rsidRPr="00844D3A">
        <w:rPr>
          <w:lang w:val="en-CA"/>
        </w:rPr>
        <w:t xml:space="preserve">cells were seeded in 96-well plates (1,000 cells/well). </w:t>
      </w:r>
      <w:r w:rsidRPr="00844D3A">
        <w:t>Tests were performed in three biological replicates each of which was carried out in a triplicate</w:t>
      </w:r>
      <w:r w:rsidRPr="00844D3A">
        <w:rPr>
          <w:lang w:val="en-CA"/>
        </w:rPr>
        <w:t xml:space="preserve">. Absorbance at 370 nm (corrected for absorbance at the reference wavelength of 492 nm) was measured using a </w:t>
      </w:r>
      <w:proofErr w:type="spellStart"/>
      <w:r w:rsidRPr="00844D3A">
        <w:rPr>
          <w:rFonts w:cs="AdvOTe4bfdd46"/>
          <w:lang w:val="en-CA"/>
        </w:rPr>
        <w:t>microplate</w:t>
      </w:r>
      <w:proofErr w:type="spellEnd"/>
      <w:r w:rsidRPr="00844D3A">
        <w:rPr>
          <w:rFonts w:cs="AdvOTe4bfdd46"/>
          <w:lang w:val="en-CA"/>
        </w:rPr>
        <w:t xml:space="preserve"> reader (Benchmark Plus </w:t>
      </w:r>
      <w:proofErr w:type="spellStart"/>
      <w:r w:rsidRPr="00844D3A">
        <w:rPr>
          <w:rFonts w:cs="AdvOTe4bfdd46"/>
          <w:lang w:val="en-CA"/>
        </w:rPr>
        <w:t>microplate</w:t>
      </w:r>
      <w:proofErr w:type="spellEnd"/>
      <w:r w:rsidRPr="00844D3A">
        <w:rPr>
          <w:rFonts w:cs="AdvOTe4bfdd46"/>
          <w:lang w:val="en-CA"/>
        </w:rPr>
        <w:t xml:space="preserve"> reader; Bio-Rad) according to a manufacturer’s instructions. </w:t>
      </w:r>
      <w:proofErr w:type="spellStart"/>
      <w:r w:rsidRPr="00844D3A">
        <w:rPr>
          <w:shd w:val="clear" w:color="auto" w:fill="FFFFFF"/>
        </w:rPr>
        <w:t>BrdU</w:t>
      </w:r>
      <w:proofErr w:type="spellEnd"/>
      <w:r w:rsidRPr="00844D3A">
        <w:rPr>
          <w:shd w:val="clear" w:color="auto" w:fill="FFFFFF"/>
        </w:rPr>
        <w:t xml:space="preserve"> incorporation is expressed as a percentage of a vehicle (DMSO) treated control.</w:t>
      </w:r>
    </w:p>
    <w:p w14:paraId="3D66D557" w14:textId="77777777" w:rsidR="00541A80" w:rsidRPr="00844D3A" w:rsidRDefault="00541A80" w:rsidP="00541A80">
      <w:pPr>
        <w:autoSpaceDE w:val="0"/>
        <w:autoSpaceDN w:val="0"/>
        <w:adjustRightInd w:val="0"/>
        <w:spacing w:line="480" w:lineRule="auto"/>
        <w:rPr>
          <w:shd w:val="clear" w:color="auto" w:fill="FFFFFF"/>
        </w:rPr>
      </w:pPr>
    </w:p>
    <w:p w14:paraId="40943E72" w14:textId="4CF3F903" w:rsidR="00541A80" w:rsidRPr="00844D3A" w:rsidRDefault="00541A80" w:rsidP="00541A80">
      <w:pPr>
        <w:autoSpaceDE w:val="0"/>
        <w:autoSpaceDN w:val="0"/>
        <w:adjustRightInd w:val="0"/>
        <w:spacing w:line="480" w:lineRule="auto"/>
      </w:pPr>
      <w:r w:rsidRPr="00844D3A">
        <w:rPr>
          <w:b/>
        </w:rPr>
        <w:t>Colony formation</w:t>
      </w:r>
      <w:r w:rsidRPr="00844D3A">
        <w:t xml:space="preserve">. For the colony formation assay, cells were plated in triplicate at 500 cells/well in 6-well plates and grown for 16 h before compounds were added </w:t>
      </w:r>
      <w:r w:rsidRPr="00844D3A">
        <w:lastRenderedPageBreak/>
        <w:t>for 1</w:t>
      </w:r>
      <w:r w:rsidRPr="00844D3A">
        <w:rPr>
          <w:rFonts w:ascii="Cambria" w:hAnsi="Cambria"/>
        </w:rPr>
        <w:t>–</w:t>
      </w:r>
      <w:r w:rsidRPr="00844D3A">
        <w:t xml:space="preserve">2 weeks, depending on cell line. Colonies were stained with </w:t>
      </w:r>
      <w:proofErr w:type="spellStart"/>
      <w:r w:rsidRPr="00844D3A">
        <w:t>Accustain</w:t>
      </w:r>
      <w:proofErr w:type="spellEnd"/>
      <w:r w:rsidRPr="00844D3A">
        <w:t xml:space="preserve"> Crystal Violet solution (Sigma-Aldrich) for 30 min. Plates were rinsed with water, and colonies (&gt;50 cells per clone) were counted. Colony formation efficiency was calculated relative to the number of colonies in control (DMSO)-treated wells. </w:t>
      </w:r>
    </w:p>
    <w:p w14:paraId="4CEBE3AF" w14:textId="77777777" w:rsidR="00541A80" w:rsidRPr="00844D3A" w:rsidRDefault="00541A80" w:rsidP="00541A80">
      <w:pPr>
        <w:autoSpaceDE w:val="0"/>
        <w:autoSpaceDN w:val="0"/>
        <w:adjustRightInd w:val="0"/>
        <w:spacing w:line="480" w:lineRule="auto"/>
        <w:rPr>
          <w:rStyle w:val="Emphasis"/>
        </w:rPr>
      </w:pPr>
    </w:p>
    <w:p w14:paraId="108A8E50" w14:textId="3F482C61" w:rsidR="00541A80" w:rsidRPr="00844D3A" w:rsidRDefault="00541A80" w:rsidP="00541A80">
      <w:pPr>
        <w:autoSpaceDE w:val="0"/>
        <w:autoSpaceDN w:val="0"/>
        <w:adjustRightInd w:val="0"/>
        <w:spacing w:line="480" w:lineRule="auto"/>
        <w:rPr>
          <w:bCs/>
          <w:shd w:val="clear" w:color="auto" w:fill="FFFFFF"/>
        </w:rPr>
      </w:pPr>
      <w:r w:rsidRPr="00844D3A">
        <w:rPr>
          <w:rStyle w:val="Emphasis"/>
          <w:b/>
          <w:bCs/>
          <w:i w:val="0"/>
          <w:iCs w:val="0"/>
          <w:shd w:val="clear" w:color="auto" w:fill="FFFFFF"/>
        </w:rPr>
        <w:t>Reverse phase Protein Array Analysis (RPPA)</w:t>
      </w:r>
      <w:r w:rsidRPr="00844D3A">
        <w:rPr>
          <w:rStyle w:val="Emphasis"/>
          <w:bCs/>
          <w:i w:val="0"/>
          <w:iCs w:val="0"/>
          <w:shd w:val="clear" w:color="auto" w:fill="FFFFFF"/>
        </w:rPr>
        <w:t xml:space="preserve">. UACC903 and WM1346 cells were treated with DMSO (controls) or 1 µM SBI-756 for 24 h in triplicate. Cells were lysed with </w:t>
      </w:r>
      <w:proofErr w:type="spellStart"/>
      <w:r w:rsidRPr="00844D3A">
        <w:rPr>
          <w:rStyle w:val="Emphasis"/>
          <w:bCs/>
          <w:i w:val="0"/>
          <w:iCs w:val="0"/>
          <w:shd w:val="clear" w:color="auto" w:fill="FFFFFF"/>
        </w:rPr>
        <w:t>lysis</w:t>
      </w:r>
      <w:proofErr w:type="spellEnd"/>
      <w:r w:rsidRPr="00844D3A">
        <w:rPr>
          <w:rStyle w:val="Emphasis"/>
          <w:bCs/>
          <w:i w:val="0"/>
          <w:iCs w:val="0"/>
          <w:shd w:val="clear" w:color="auto" w:fill="FFFFFF"/>
        </w:rPr>
        <w:t xml:space="preserve"> buffer (</w:t>
      </w:r>
      <w:r w:rsidRPr="00844D3A">
        <w:rPr>
          <w:rFonts w:eastAsia="Times"/>
        </w:rPr>
        <w:t xml:space="preserve">1% Triton X-100, 50 </w:t>
      </w:r>
      <w:proofErr w:type="spellStart"/>
      <w:r w:rsidRPr="00844D3A">
        <w:rPr>
          <w:rFonts w:eastAsia="Times"/>
        </w:rPr>
        <w:t>mM</w:t>
      </w:r>
      <w:proofErr w:type="spellEnd"/>
      <w:r w:rsidRPr="00844D3A">
        <w:rPr>
          <w:rFonts w:eastAsia="Times"/>
        </w:rPr>
        <w:t xml:space="preserve"> HEPES, pH 7.4, 150 </w:t>
      </w:r>
      <w:proofErr w:type="spellStart"/>
      <w:r w:rsidRPr="00844D3A">
        <w:rPr>
          <w:rFonts w:eastAsia="Times"/>
        </w:rPr>
        <w:t>mM</w:t>
      </w:r>
      <w:proofErr w:type="spellEnd"/>
      <w:r w:rsidRPr="00844D3A">
        <w:rPr>
          <w:rFonts w:eastAsia="Times"/>
        </w:rPr>
        <w:t xml:space="preserve"> </w:t>
      </w:r>
      <w:proofErr w:type="spellStart"/>
      <w:r w:rsidRPr="00844D3A">
        <w:rPr>
          <w:rFonts w:eastAsia="Times"/>
        </w:rPr>
        <w:t>NaCl</w:t>
      </w:r>
      <w:proofErr w:type="spellEnd"/>
      <w:r w:rsidRPr="00844D3A">
        <w:rPr>
          <w:rFonts w:eastAsia="Times"/>
        </w:rPr>
        <w:t xml:space="preserve">, 1.5 </w:t>
      </w:r>
      <w:proofErr w:type="spellStart"/>
      <w:r w:rsidRPr="00844D3A">
        <w:rPr>
          <w:rFonts w:eastAsia="Times"/>
        </w:rPr>
        <w:t>mM</w:t>
      </w:r>
      <w:proofErr w:type="spellEnd"/>
      <w:r w:rsidRPr="00844D3A">
        <w:rPr>
          <w:rFonts w:eastAsia="Times"/>
        </w:rPr>
        <w:t xml:space="preserve"> MgCl</w:t>
      </w:r>
      <w:r w:rsidRPr="00844D3A">
        <w:rPr>
          <w:rFonts w:eastAsia="Times"/>
          <w:vertAlign w:val="subscript"/>
        </w:rPr>
        <w:t>2</w:t>
      </w:r>
      <w:r w:rsidRPr="00844D3A">
        <w:rPr>
          <w:rFonts w:eastAsia="Times"/>
        </w:rPr>
        <w:t xml:space="preserve">, 1 </w:t>
      </w:r>
      <w:proofErr w:type="spellStart"/>
      <w:r w:rsidRPr="00844D3A">
        <w:rPr>
          <w:rFonts w:eastAsia="Times"/>
        </w:rPr>
        <w:t>mM</w:t>
      </w:r>
      <w:proofErr w:type="spellEnd"/>
      <w:r w:rsidRPr="00844D3A">
        <w:rPr>
          <w:rFonts w:eastAsia="Times"/>
        </w:rPr>
        <w:t xml:space="preserve"> EGTA, 100 </w:t>
      </w:r>
      <w:proofErr w:type="spellStart"/>
      <w:r w:rsidRPr="00844D3A">
        <w:rPr>
          <w:rFonts w:eastAsia="Times"/>
        </w:rPr>
        <w:t>mM</w:t>
      </w:r>
      <w:proofErr w:type="spellEnd"/>
      <w:r w:rsidRPr="00844D3A">
        <w:rPr>
          <w:rFonts w:eastAsia="Times"/>
        </w:rPr>
        <w:t xml:space="preserve"> </w:t>
      </w:r>
      <w:proofErr w:type="spellStart"/>
      <w:r w:rsidRPr="00844D3A">
        <w:rPr>
          <w:rFonts w:eastAsia="Times"/>
        </w:rPr>
        <w:t>NaF</w:t>
      </w:r>
      <w:proofErr w:type="spellEnd"/>
      <w:r w:rsidRPr="00844D3A">
        <w:rPr>
          <w:rFonts w:eastAsia="Times"/>
        </w:rPr>
        <w:t xml:space="preserve">, 10 </w:t>
      </w:r>
      <w:proofErr w:type="spellStart"/>
      <w:r w:rsidRPr="00844D3A">
        <w:rPr>
          <w:rFonts w:eastAsia="Times"/>
        </w:rPr>
        <w:t>mM</w:t>
      </w:r>
      <w:proofErr w:type="spellEnd"/>
      <w:r w:rsidRPr="00844D3A">
        <w:rPr>
          <w:rFonts w:eastAsia="Times"/>
        </w:rPr>
        <w:t xml:space="preserve"> Na </w:t>
      </w:r>
      <w:r w:rsidRPr="00844D3A" w:rsidDel="003304D4">
        <w:rPr>
          <w:rFonts w:eastAsia="Times"/>
        </w:rPr>
        <w:t>p</w:t>
      </w:r>
      <w:r w:rsidRPr="00844D3A">
        <w:rPr>
          <w:rFonts w:eastAsia="Times"/>
        </w:rPr>
        <w:t xml:space="preserve">yrophosphate, 1 </w:t>
      </w:r>
      <w:proofErr w:type="spellStart"/>
      <w:r w:rsidRPr="00844D3A">
        <w:rPr>
          <w:rFonts w:eastAsia="Times"/>
        </w:rPr>
        <w:t>mM</w:t>
      </w:r>
      <w:proofErr w:type="spellEnd"/>
      <w:r w:rsidRPr="00844D3A">
        <w:rPr>
          <w:rFonts w:eastAsia="Times"/>
        </w:rPr>
        <w:t xml:space="preserve"> Na</w:t>
      </w:r>
      <w:r w:rsidRPr="00844D3A">
        <w:rPr>
          <w:rFonts w:eastAsia="Times"/>
          <w:vertAlign w:val="subscript"/>
        </w:rPr>
        <w:t>3</w:t>
      </w:r>
      <w:r w:rsidRPr="00844D3A">
        <w:rPr>
          <w:rFonts w:eastAsia="Times"/>
        </w:rPr>
        <w:t>VO</w:t>
      </w:r>
      <w:r w:rsidRPr="00844D3A">
        <w:rPr>
          <w:rFonts w:eastAsia="Times"/>
          <w:vertAlign w:val="subscript"/>
        </w:rPr>
        <w:t>4</w:t>
      </w:r>
      <w:r w:rsidRPr="00844D3A">
        <w:rPr>
          <w:rFonts w:eastAsia="Times"/>
        </w:rPr>
        <w:t xml:space="preserve">, 10% glycerol, with freshly added protease and phosphatase inhibitors) </w:t>
      </w:r>
      <w:r w:rsidRPr="00844D3A">
        <w:rPr>
          <w:rStyle w:val="Emphasis"/>
          <w:bCs/>
          <w:i w:val="0"/>
          <w:iCs w:val="0"/>
          <w:shd w:val="clear" w:color="auto" w:fill="FFFFFF"/>
        </w:rPr>
        <w:t>and centrifuged at 13,000g for 20 minutes. Denatured protein lysates containing the same amount of protein were then subjected to RPPA analysis at the RPPA</w:t>
      </w:r>
      <w:r w:rsidRPr="00844D3A">
        <w:rPr>
          <w:rFonts w:eastAsia="Times New Roman" w:cs="Arial"/>
          <w:bCs/>
          <w:kern w:val="36"/>
        </w:rPr>
        <w:t xml:space="preserve"> </w:t>
      </w:r>
      <w:r w:rsidRPr="00844D3A">
        <w:rPr>
          <w:bCs/>
          <w:kern w:val="36"/>
        </w:rPr>
        <w:t>Core Facility, MD Anderson Cancer Center, as previously described</w:t>
      </w:r>
      <w:r w:rsidR="00341404" w:rsidRPr="00844D3A">
        <w:rPr>
          <w:bCs/>
          <w:kern w:val="36"/>
        </w:rPr>
        <w:t xml:space="preserve"> </w:t>
      </w:r>
      <w:r w:rsidR="00341404" w:rsidRPr="00844D3A">
        <w:rPr>
          <w:bCs/>
          <w:kern w:val="36"/>
        </w:rPr>
        <w:fldChar w:fldCharType="begin">
          <w:fldData xml:space="preserve">PEVuZE5vdGU+PENpdGU+PEF1dGhvcj5UaWJlczwvQXV0aG9yPjxZZWFyPjIwMDY8L1llYXI+PFJl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</w:fldData>
        </w:fldChar>
      </w:r>
      <w:r w:rsidR="00341404" w:rsidRPr="00844D3A">
        <w:rPr>
          <w:bCs/>
          <w:kern w:val="36"/>
        </w:rPr>
        <w:instrText xml:space="preserve"> ADDIN EN.CITE </w:instrText>
      </w:r>
      <w:r w:rsidR="00341404" w:rsidRPr="00844D3A">
        <w:rPr>
          <w:bCs/>
          <w:kern w:val="36"/>
        </w:rPr>
        <w:fldChar w:fldCharType="begin">
          <w:fldData xml:space="preserve">PEVuZE5vdGU+PENpdGU+PEF1dGhvcj5UaWJlczwvQXV0aG9yPjxZZWFyPjIwMDY8L1llYXI+PFJl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</w:fldData>
        </w:fldChar>
      </w:r>
      <w:r w:rsidR="00341404" w:rsidRPr="00844D3A">
        <w:rPr>
          <w:bCs/>
          <w:kern w:val="36"/>
        </w:rPr>
        <w:instrText xml:space="preserve"> ADDIN EN.CITE.DATA </w:instrText>
      </w:r>
      <w:r w:rsidR="00341404" w:rsidRPr="00844D3A">
        <w:rPr>
          <w:bCs/>
          <w:kern w:val="36"/>
        </w:rPr>
      </w:r>
      <w:r w:rsidR="00341404" w:rsidRPr="00844D3A">
        <w:rPr>
          <w:bCs/>
          <w:kern w:val="36"/>
        </w:rPr>
        <w:fldChar w:fldCharType="end"/>
      </w:r>
      <w:r w:rsidR="00341404" w:rsidRPr="00844D3A">
        <w:rPr>
          <w:bCs/>
          <w:kern w:val="36"/>
        </w:rPr>
      </w:r>
      <w:r w:rsidR="00341404" w:rsidRPr="00844D3A">
        <w:rPr>
          <w:bCs/>
          <w:kern w:val="36"/>
        </w:rPr>
        <w:fldChar w:fldCharType="separate"/>
      </w:r>
      <w:r w:rsidR="00341404" w:rsidRPr="00844D3A">
        <w:rPr>
          <w:bCs/>
          <w:noProof/>
          <w:kern w:val="36"/>
        </w:rPr>
        <w:t>(</w:t>
      </w:r>
      <w:hyperlink w:anchor="_ENREF_1" w:tooltip="Tibes, 2006 #1" w:history="1">
        <w:r w:rsidR="00EC3E5D" w:rsidRPr="00844D3A">
          <w:rPr>
            <w:bCs/>
            <w:noProof/>
            <w:kern w:val="36"/>
          </w:rPr>
          <w:t>3</w:t>
        </w:r>
      </w:hyperlink>
      <w:r w:rsidR="00341404" w:rsidRPr="00844D3A">
        <w:rPr>
          <w:bCs/>
          <w:noProof/>
          <w:kern w:val="36"/>
        </w:rPr>
        <w:t>)</w:t>
      </w:r>
      <w:r w:rsidR="00341404" w:rsidRPr="00844D3A">
        <w:rPr>
          <w:bCs/>
          <w:kern w:val="36"/>
        </w:rPr>
        <w:fldChar w:fldCharType="end"/>
      </w:r>
      <w:r w:rsidRPr="00844D3A">
        <w:rPr>
          <w:bCs/>
          <w:kern w:val="36"/>
        </w:rPr>
        <w:t>.</w:t>
      </w:r>
    </w:p>
    <w:p w14:paraId="2E824F75" w14:textId="77777777" w:rsidR="00541A80" w:rsidRPr="00844D3A" w:rsidRDefault="00541A80" w:rsidP="00541A80">
      <w:pPr>
        <w:widowControl w:val="0"/>
        <w:autoSpaceDE w:val="0"/>
        <w:autoSpaceDN w:val="0"/>
        <w:adjustRightInd w:val="0"/>
        <w:rPr>
          <w:rFonts w:cs="Arial"/>
        </w:rPr>
      </w:pPr>
    </w:p>
    <w:p w14:paraId="582EFE6A" w14:textId="3BF81EE1" w:rsidR="00541A80" w:rsidRPr="00844D3A" w:rsidRDefault="00541A80" w:rsidP="00541A80">
      <w:pPr>
        <w:widowControl w:val="0"/>
        <w:autoSpaceDE w:val="0"/>
        <w:autoSpaceDN w:val="0"/>
        <w:adjustRightInd w:val="0"/>
        <w:spacing w:line="480" w:lineRule="auto"/>
      </w:pPr>
      <w:r w:rsidRPr="00844D3A">
        <w:rPr>
          <w:b/>
        </w:rPr>
        <w:t>LC/MS/MS</w:t>
      </w:r>
      <w:r w:rsidRPr="00844D3A">
        <w:t>. UACC903 cell lysates (1 mg protein) were first incubated with 10 µM biotin or 10 µM biotinylated-BI</w:t>
      </w:r>
      <w:r w:rsidR="00EC3E5D" w:rsidRPr="00844D3A">
        <w:t>-</w:t>
      </w:r>
      <w:r w:rsidRPr="00844D3A">
        <w:t>69A11 or 100 µM BI</w:t>
      </w:r>
      <w:r w:rsidR="00EC3E5D" w:rsidRPr="00844D3A">
        <w:t>-</w:t>
      </w:r>
      <w:r w:rsidRPr="00844D3A">
        <w:t xml:space="preserve">69A11 for 30 min at room temperature on a rotating wheel. Pierce Monomeric </w:t>
      </w:r>
      <w:proofErr w:type="spellStart"/>
      <w:r w:rsidRPr="00844D3A">
        <w:t>Avidin</w:t>
      </w:r>
      <w:proofErr w:type="spellEnd"/>
      <w:r w:rsidRPr="00844D3A">
        <w:t xml:space="preserve"> </w:t>
      </w:r>
      <w:proofErr w:type="spellStart"/>
      <w:r w:rsidRPr="00844D3A">
        <w:t>Agarose</w:t>
      </w:r>
      <w:proofErr w:type="spellEnd"/>
      <w:r w:rsidRPr="00844D3A">
        <w:t xml:space="preserve"> beads (100 µl) were then added to each sample, which was incubated another 30 min and then washed five times with PBS. One tenth of the bead mixture was run on SDS PAGE, which was then silver-stained, while the </w:t>
      </w:r>
      <w:proofErr w:type="gramStart"/>
      <w:r w:rsidRPr="00844D3A">
        <w:t>rest of the bead mix was subjected to LC/MS/MS analysis by the SBMRI Proteomics Facility</w:t>
      </w:r>
      <w:proofErr w:type="gramEnd"/>
      <w:r w:rsidRPr="00844D3A">
        <w:t xml:space="preserve">. </w:t>
      </w:r>
      <w:r w:rsidRPr="00844D3A">
        <w:rPr>
          <w:rFonts w:eastAsia="Calibri"/>
        </w:rPr>
        <w:t xml:space="preserve">For </w:t>
      </w:r>
      <w:proofErr w:type="spellStart"/>
      <w:r w:rsidRPr="00844D3A">
        <w:rPr>
          <w:rFonts w:eastAsia="Calibri"/>
        </w:rPr>
        <w:t>tryptic</w:t>
      </w:r>
      <w:proofErr w:type="spellEnd"/>
      <w:r w:rsidRPr="00844D3A">
        <w:rPr>
          <w:rFonts w:eastAsia="Calibri"/>
        </w:rPr>
        <w:t xml:space="preserve"> digestion and 1D LC/MS/MS analysis, samples of beads plus protein were re-suspended in 100 </w:t>
      </w:r>
      <w:proofErr w:type="spellStart"/>
      <w:r w:rsidRPr="00844D3A">
        <w:rPr>
          <w:rFonts w:eastAsia="Calibri"/>
        </w:rPr>
        <w:t>ul</w:t>
      </w:r>
      <w:proofErr w:type="spellEnd"/>
      <w:r w:rsidRPr="00844D3A">
        <w:rPr>
          <w:rFonts w:eastAsia="Calibri"/>
        </w:rPr>
        <w:t xml:space="preserve"> of 50 </w:t>
      </w:r>
      <w:proofErr w:type="spellStart"/>
      <w:r w:rsidRPr="00844D3A">
        <w:rPr>
          <w:rFonts w:eastAsia="Calibri"/>
        </w:rPr>
        <w:t>mM</w:t>
      </w:r>
      <w:proofErr w:type="spellEnd"/>
      <w:r w:rsidRPr="00844D3A">
        <w:rPr>
          <w:rFonts w:eastAsia="Calibri"/>
        </w:rPr>
        <w:t xml:space="preserve"> ammonium bicarbonate, and 2 </w:t>
      </w:r>
      <w:proofErr w:type="spellStart"/>
      <w:r w:rsidRPr="00844D3A">
        <w:rPr>
          <w:rFonts w:eastAsia="Calibri"/>
        </w:rPr>
        <w:t>ul</w:t>
      </w:r>
      <w:proofErr w:type="spellEnd"/>
      <w:r w:rsidRPr="00844D3A">
        <w:rPr>
          <w:rFonts w:eastAsia="Calibri"/>
        </w:rPr>
        <w:t xml:space="preserve"> of 0.5M </w:t>
      </w:r>
      <w:proofErr w:type="spellStart"/>
      <w:r w:rsidRPr="00844D3A">
        <w:rPr>
          <w:rFonts w:eastAsia="Calibri"/>
        </w:rPr>
        <w:t>Tris</w:t>
      </w:r>
      <w:proofErr w:type="spellEnd"/>
      <w:r w:rsidRPr="00844D3A">
        <w:rPr>
          <w:rFonts w:eastAsia="Calibri"/>
        </w:rPr>
        <w:t xml:space="preserve"> (2-carboxyethyl) phosphine (TCEP) was added to 200 µl of the beads/protein mix at 40°C for 30 min to reduce </w:t>
      </w:r>
      <w:r w:rsidRPr="00844D3A">
        <w:rPr>
          <w:rFonts w:eastAsia="Calibri"/>
        </w:rPr>
        <w:lastRenderedPageBreak/>
        <w:t xml:space="preserve">proteins. 4 </w:t>
      </w:r>
      <w:proofErr w:type="spellStart"/>
      <w:r w:rsidRPr="00844D3A">
        <w:rPr>
          <w:rFonts w:eastAsia="Calibri"/>
        </w:rPr>
        <w:t>ul</w:t>
      </w:r>
      <w:proofErr w:type="spellEnd"/>
      <w:r w:rsidRPr="00844D3A">
        <w:rPr>
          <w:rFonts w:eastAsia="Calibri"/>
        </w:rPr>
        <w:t xml:space="preserve"> of 0.5 M </w:t>
      </w:r>
      <w:proofErr w:type="spellStart"/>
      <w:r w:rsidRPr="00844D3A">
        <w:rPr>
          <w:rFonts w:eastAsia="Calibri"/>
        </w:rPr>
        <w:t>iodoacetamide</w:t>
      </w:r>
      <w:proofErr w:type="spellEnd"/>
      <w:r w:rsidRPr="00844D3A">
        <w:rPr>
          <w:rFonts w:eastAsia="Calibri"/>
        </w:rPr>
        <w:t xml:space="preserve"> was added, and proteins were alkylated at room temperature in the dark for 30 min. Mass spectrometry grade trypsin (</w:t>
      </w:r>
      <w:proofErr w:type="spellStart"/>
      <w:r w:rsidRPr="00844D3A">
        <w:rPr>
          <w:rFonts w:eastAsia="Calibri"/>
        </w:rPr>
        <w:t>Promega</w:t>
      </w:r>
      <w:proofErr w:type="spellEnd"/>
      <w:r w:rsidRPr="00844D3A">
        <w:rPr>
          <w:rFonts w:eastAsia="Calibri"/>
        </w:rPr>
        <w:t xml:space="preserve">) was added at a 1:20 ratio to beads for overnight digestion at 37°C using an </w:t>
      </w:r>
      <w:proofErr w:type="spellStart"/>
      <w:r w:rsidRPr="00844D3A">
        <w:rPr>
          <w:rFonts w:eastAsia="Calibri"/>
        </w:rPr>
        <w:t>Eppendorf</w:t>
      </w:r>
      <w:proofErr w:type="spellEnd"/>
      <w:r w:rsidRPr="00844D3A">
        <w:rPr>
          <w:rFonts w:eastAsia="Calibri"/>
        </w:rPr>
        <w:t xml:space="preserve"> </w:t>
      </w:r>
      <w:proofErr w:type="spellStart"/>
      <w:r w:rsidRPr="00844D3A">
        <w:rPr>
          <w:rFonts w:eastAsia="Calibri"/>
        </w:rPr>
        <w:t>Thermomixer</w:t>
      </w:r>
      <w:proofErr w:type="spellEnd"/>
      <w:r w:rsidRPr="00844D3A">
        <w:rPr>
          <w:rFonts w:eastAsia="Calibri"/>
        </w:rPr>
        <w:t xml:space="preserve"> at 800 rpm. Digested peptides were separated from beads by centrifugation and transferred to a new tube. Formic acid was added to the peptide solution (to 2%), followed by desalting using a </w:t>
      </w:r>
      <w:proofErr w:type="spellStart"/>
      <w:r w:rsidRPr="00844D3A">
        <w:rPr>
          <w:rFonts w:eastAsia="Calibri"/>
        </w:rPr>
        <w:t>Microtrap</w:t>
      </w:r>
      <w:proofErr w:type="spellEnd"/>
      <w:r w:rsidRPr="00844D3A">
        <w:rPr>
          <w:rFonts w:eastAsia="Calibri"/>
        </w:rPr>
        <w:t xml:space="preserve"> (Thermo) and on-line analysis of peptides by high-resolution, high-accuracy LC-MS/MS, which consisted of an EASY-</w:t>
      </w:r>
      <w:proofErr w:type="spellStart"/>
      <w:r w:rsidRPr="00844D3A">
        <w:rPr>
          <w:rFonts w:eastAsia="Calibri"/>
        </w:rPr>
        <w:t>nLC</w:t>
      </w:r>
      <w:proofErr w:type="spellEnd"/>
      <w:r w:rsidRPr="00844D3A">
        <w:rPr>
          <w:rFonts w:eastAsia="Calibri"/>
        </w:rPr>
        <w:t xml:space="preserve"> 1000 HPLC Acclaim </w:t>
      </w:r>
      <w:proofErr w:type="spellStart"/>
      <w:r w:rsidRPr="00844D3A">
        <w:rPr>
          <w:rFonts w:eastAsia="Calibri"/>
        </w:rPr>
        <w:t>PepMap</w:t>
      </w:r>
      <w:proofErr w:type="spellEnd"/>
      <w:r w:rsidRPr="00844D3A">
        <w:rPr>
          <w:rFonts w:eastAsia="Calibri"/>
        </w:rPr>
        <w:t xml:space="preserve"> peptide trap, a 15-cm 3um Easy-Spray C18 column, an Easy Spray Source, and a Q </w:t>
      </w:r>
      <w:proofErr w:type="spellStart"/>
      <w:r w:rsidRPr="00844D3A">
        <w:rPr>
          <w:rFonts w:eastAsia="Calibri"/>
        </w:rPr>
        <w:t>Exactive</w:t>
      </w:r>
      <w:proofErr w:type="spellEnd"/>
      <w:r w:rsidRPr="00844D3A">
        <w:rPr>
          <w:rFonts w:eastAsia="Calibri"/>
        </w:rPr>
        <w:t xml:space="preserve"> Plus mass spectrometer (Thermo Fisher Scientific). </w:t>
      </w:r>
    </w:p>
    <w:p w14:paraId="1DE30A37" w14:textId="77777777" w:rsidR="00541A80" w:rsidRPr="00844D3A" w:rsidRDefault="00541A80" w:rsidP="00541A80">
      <w:pPr>
        <w:autoSpaceDE w:val="0"/>
        <w:autoSpaceDN w:val="0"/>
        <w:adjustRightInd w:val="0"/>
        <w:spacing w:line="480" w:lineRule="auto"/>
        <w:rPr>
          <w:b/>
        </w:rPr>
      </w:pPr>
    </w:p>
    <w:p w14:paraId="2A0BB46D" w14:textId="38C57E8C" w:rsidR="00541A80" w:rsidRPr="00844D3A" w:rsidRDefault="00541A80" w:rsidP="00541A80">
      <w:pPr>
        <w:autoSpaceDE w:val="0"/>
        <w:autoSpaceDN w:val="0"/>
        <w:adjustRightInd w:val="0"/>
        <w:spacing w:line="480" w:lineRule="auto"/>
      </w:pPr>
      <w:r w:rsidRPr="00844D3A">
        <w:rPr>
          <w:b/>
        </w:rPr>
        <w:t>Pharmacology analysis</w:t>
      </w:r>
      <w:r w:rsidRPr="00844D3A">
        <w:t xml:space="preserve">. </w:t>
      </w:r>
      <w:r w:rsidRPr="00844D3A">
        <w:rPr>
          <w:rFonts w:cs="Arial"/>
          <w:szCs w:val="21"/>
        </w:rPr>
        <w:t xml:space="preserve">SBI-756 and </w:t>
      </w:r>
      <w:r w:rsidR="00791BE0" w:rsidRPr="00844D3A">
        <w:rPr>
          <w:rFonts w:cs="Arial"/>
          <w:szCs w:val="21"/>
        </w:rPr>
        <w:t>its</w:t>
      </w:r>
      <w:r w:rsidRPr="00844D3A">
        <w:rPr>
          <w:rFonts w:cs="Arial"/>
          <w:szCs w:val="21"/>
        </w:rPr>
        <w:t xml:space="preserve"> analog</w:t>
      </w:r>
      <w:r w:rsidR="00EC3E5D" w:rsidRPr="00844D3A">
        <w:rPr>
          <w:rFonts w:cs="Arial"/>
          <w:szCs w:val="21"/>
        </w:rPr>
        <w:t>ue</w:t>
      </w:r>
      <w:r w:rsidRPr="00844D3A">
        <w:rPr>
          <w:rFonts w:cs="Arial"/>
          <w:szCs w:val="21"/>
        </w:rPr>
        <w:t xml:space="preserve">s were evaluated in a detailed </w:t>
      </w:r>
      <w:r w:rsidRPr="00844D3A">
        <w:rPr>
          <w:rFonts w:cs="Arial"/>
          <w:i/>
          <w:iCs/>
          <w:szCs w:val="21"/>
        </w:rPr>
        <w:t xml:space="preserve">in vitro </w:t>
      </w:r>
      <w:r w:rsidRPr="00844D3A">
        <w:rPr>
          <w:rFonts w:cs="Arial"/>
          <w:szCs w:val="21"/>
        </w:rPr>
        <w:t xml:space="preserve">pharmacology screen (absorption, distribution, metabolism, excretion, toxicity (ADME/T)) as shown in </w:t>
      </w:r>
      <w:r w:rsidRPr="00844D3A">
        <w:rPr>
          <w:rFonts w:cs="Arial"/>
          <w:bCs/>
          <w:szCs w:val="21"/>
        </w:rPr>
        <w:t>Table S</w:t>
      </w:r>
      <w:r w:rsidR="00516E15" w:rsidRPr="00844D3A">
        <w:rPr>
          <w:rFonts w:cs="Arial"/>
          <w:bCs/>
          <w:szCs w:val="21"/>
        </w:rPr>
        <w:t>1</w:t>
      </w:r>
      <w:r w:rsidRPr="00844D3A">
        <w:rPr>
          <w:rFonts w:cs="Arial"/>
          <w:szCs w:val="21"/>
        </w:rPr>
        <w:t>. SBI-756</w:t>
      </w:r>
      <w:r w:rsidRPr="00844D3A">
        <w:rPr>
          <w:rFonts w:cs="Arial"/>
        </w:rPr>
        <w:t xml:space="preserve"> is moderately soluble across a range of </w:t>
      </w:r>
      <w:proofErr w:type="spellStart"/>
      <w:proofErr w:type="gramStart"/>
      <w:r w:rsidRPr="00844D3A">
        <w:rPr>
          <w:rFonts w:cs="Arial"/>
        </w:rPr>
        <w:t>pHs</w:t>
      </w:r>
      <w:proofErr w:type="spellEnd"/>
      <w:proofErr w:type="gramEnd"/>
      <w:r w:rsidRPr="00844D3A">
        <w:rPr>
          <w:rFonts w:cs="Arial"/>
        </w:rPr>
        <w:t xml:space="preserve"> and exhibits high permeability in a standard parallel artificial membrane permeability assay (PAMPA). Lastly, SBI-756 shows moderate stability in human and mouse liver homogenates. In all cases (with the exception of partially diminished microsomal stability), SBI-756 represents an improvement on the original lead BI-69A11, as reflected by improved rodent pharmacokinetics.</w:t>
      </w:r>
      <w:r w:rsidRPr="00844D3A">
        <w:rPr>
          <w:b/>
          <w:u w:val="single"/>
        </w:rPr>
        <w:t xml:space="preserve"> </w:t>
      </w:r>
    </w:p>
    <w:p w14:paraId="1E158846" w14:textId="77777777" w:rsidR="00541A80" w:rsidRPr="00844D3A" w:rsidRDefault="00541A80" w:rsidP="00541A80">
      <w:pPr>
        <w:autoSpaceDE w:val="0"/>
        <w:autoSpaceDN w:val="0"/>
        <w:adjustRightInd w:val="0"/>
        <w:spacing w:line="480" w:lineRule="auto"/>
      </w:pPr>
    </w:p>
    <w:p w14:paraId="3B19B4A1" w14:textId="5D282BE8" w:rsidR="00541A80" w:rsidRPr="00844D3A" w:rsidRDefault="00541A80" w:rsidP="00541A80">
      <w:pPr>
        <w:autoSpaceDE w:val="0"/>
        <w:autoSpaceDN w:val="0"/>
        <w:adjustRightInd w:val="0"/>
        <w:spacing w:line="480" w:lineRule="auto"/>
      </w:pPr>
      <w:proofErr w:type="gramStart"/>
      <w:r w:rsidRPr="00844D3A">
        <w:rPr>
          <w:b/>
        </w:rPr>
        <w:t>SBI-756 pharmacokinetics in mouse</w:t>
      </w:r>
      <w:r w:rsidRPr="00844D3A">
        <w:t>.</w:t>
      </w:r>
      <w:proofErr w:type="gramEnd"/>
      <w:r w:rsidRPr="00844D3A">
        <w:t xml:space="preserve"> Fasted male C57Bl/6J mice were dosed with a 1 mg/mL solution of SBI-756 in 10% </w:t>
      </w:r>
      <w:r w:rsidR="00EC3E5D" w:rsidRPr="00844D3A">
        <w:t>DMSO</w:t>
      </w:r>
      <w:r w:rsidRPr="00844D3A">
        <w:t xml:space="preserve"> 10% Tween-80 and 80% water by intravenous injection (2 mg/kg, as a 0.4 mg/mL solution), oral gavage (10 mg/kg as </w:t>
      </w:r>
      <w:r w:rsidRPr="00844D3A">
        <w:lastRenderedPageBreak/>
        <w:t xml:space="preserve">a 1 mg/mL solution) or </w:t>
      </w:r>
      <w:proofErr w:type="spellStart"/>
      <w:r w:rsidRPr="00844D3A">
        <w:t>intraperitoneal</w:t>
      </w:r>
      <w:proofErr w:type="spellEnd"/>
      <w:r w:rsidRPr="00844D3A">
        <w:t xml:space="preserve"> injection (10 mg/kg as a 1 mg/mL solution). Plasma was collected at various time points and analyzed by LC/MS/MS to determine compound levels.</w:t>
      </w:r>
    </w:p>
    <w:p w14:paraId="64335E1A" w14:textId="77777777" w:rsidR="00541A80" w:rsidRPr="00844D3A" w:rsidRDefault="00541A80" w:rsidP="00541A80">
      <w:pPr>
        <w:autoSpaceDE w:val="0"/>
        <w:autoSpaceDN w:val="0"/>
        <w:adjustRightInd w:val="0"/>
        <w:spacing w:line="480" w:lineRule="auto"/>
        <w:rPr>
          <w:b/>
        </w:rPr>
      </w:pPr>
    </w:p>
    <w:p w14:paraId="21ADEE94" w14:textId="69295459" w:rsidR="00541A80" w:rsidRPr="00844D3A" w:rsidRDefault="00541A80" w:rsidP="00541A80">
      <w:pPr>
        <w:autoSpaceDE w:val="0"/>
        <w:autoSpaceDN w:val="0"/>
        <w:adjustRightInd w:val="0"/>
        <w:spacing w:line="480" w:lineRule="auto"/>
      </w:pPr>
      <w:proofErr w:type="spellStart"/>
      <w:r w:rsidRPr="00844D3A">
        <w:rPr>
          <w:b/>
        </w:rPr>
        <w:t>Xenograft</w:t>
      </w:r>
      <w:proofErr w:type="spellEnd"/>
      <w:r w:rsidRPr="00844D3A">
        <w:rPr>
          <w:b/>
        </w:rPr>
        <w:t xml:space="preserve"> tumors</w:t>
      </w:r>
      <w:r w:rsidRPr="00844D3A">
        <w:t>. All animal studies were conducted in the SBMRI Animal Facility in accordance with the</w:t>
      </w:r>
      <w:r w:rsidRPr="00844D3A">
        <w:rPr>
          <w:rStyle w:val="apple-converted-space"/>
          <w:shd w:val="clear" w:color="auto" w:fill="FFFFFF"/>
        </w:rPr>
        <w:t xml:space="preserve"> </w:t>
      </w:r>
      <w:r w:rsidRPr="00844D3A">
        <w:rPr>
          <w:shd w:val="clear" w:color="auto" w:fill="FFFFFF"/>
        </w:rPr>
        <w:t>Institutional Animal Care and Use Committee guidelines.</w:t>
      </w:r>
      <w:r w:rsidRPr="00844D3A">
        <w:t xml:space="preserve"> </w:t>
      </w:r>
      <w:r w:rsidRPr="00844D3A">
        <w:rPr>
          <w:rFonts w:eastAsia="SimSun"/>
          <w:shd w:val="clear" w:color="auto" w:fill="FFFFFF"/>
        </w:rPr>
        <w:t>S</w:t>
      </w:r>
      <w:r w:rsidRPr="00844D3A">
        <w:rPr>
          <w:shd w:val="clear" w:color="auto" w:fill="FFFFFF"/>
        </w:rPr>
        <w:t>ix</w:t>
      </w:r>
      <w:r w:rsidRPr="00844D3A">
        <w:rPr>
          <w:rFonts w:eastAsia="SimSun"/>
          <w:shd w:val="clear" w:color="auto" w:fill="FFFFFF"/>
        </w:rPr>
        <w:t>-</w:t>
      </w:r>
      <w:r w:rsidRPr="00844D3A">
        <w:rPr>
          <w:shd w:val="clear" w:color="auto" w:fill="FFFFFF"/>
        </w:rPr>
        <w:t>week-old female nu/nu mice were purchased</w:t>
      </w:r>
      <w:r w:rsidRPr="00844D3A">
        <w:rPr>
          <w:rStyle w:val="apple-converted-space"/>
          <w:shd w:val="clear" w:color="auto" w:fill="FFFFFF"/>
        </w:rPr>
        <w:t xml:space="preserve"> </w:t>
      </w:r>
      <w:r w:rsidRPr="00844D3A">
        <w:t xml:space="preserve">Harlan Laboratories (Indianapolis, IN) and allowed to acclimatize for 1 week. </w:t>
      </w:r>
      <w:r w:rsidRPr="00844D3A">
        <w:rPr>
          <w:rFonts w:eastAsia="SimSun"/>
        </w:rPr>
        <w:t>A375</w:t>
      </w:r>
      <w:r w:rsidRPr="00844D3A">
        <w:t xml:space="preserve"> cells (1×10</w:t>
      </w:r>
      <w:r w:rsidRPr="00844D3A">
        <w:rPr>
          <w:vertAlign w:val="superscript"/>
        </w:rPr>
        <w:t>6</w:t>
      </w:r>
      <w:r w:rsidRPr="00844D3A">
        <w:t xml:space="preserve">, suspended in 200 </w:t>
      </w:r>
      <w:proofErr w:type="spellStart"/>
      <w:r w:rsidRPr="00844D3A">
        <w:t>μl</w:t>
      </w:r>
      <w:proofErr w:type="spellEnd"/>
      <w:r w:rsidRPr="00844D3A">
        <w:t xml:space="preserve"> sterile PBS) were injected into subcutaneous flank tissue. When the </w:t>
      </w:r>
      <w:proofErr w:type="spellStart"/>
      <w:r w:rsidRPr="00844D3A">
        <w:t>xenograft</w:t>
      </w:r>
      <w:proofErr w:type="spellEnd"/>
      <w:r w:rsidRPr="00844D3A">
        <w:t xml:space="preserve"> size reached ~</w:t>
      </w:r>
      <w:r w:rsidRPr="00844D3A">
        <w:rPr>
          <w:rFonts w:eastAsia="SimSun"/>
        </w:rPr>
        <w:t>250</w:t>
      </w:r>
      <w:r w:rsidRPr="00844D3A">
        <w:t xml:space="preserve"> mm</w:t>
      </w:r>
      <w:r w:rsidRPr="00844D3A">
        <w:rPr>
          <w:vertAlign w:val="superscript"/>
        </w:rPr>
        <w:t>3</w:t>
      </w:r>
      <w:r w:rsidRPr="00844D3A">
        <w:t xml:space="preserve">, mice were sorted into </w:t>
      </w:r>
      <w:r w:rsidRPr="00844D3A">
        <w:rPr>
          <w:rFonts w:eastAsia="SimSun"/>
        </w:rPr>
        <w:t>different</w:t>
      </w:r>
      <w:r w:rsidRPr="00844D3A">
        <w:t xml:space="preserve"> group</w:t>
      </w:r>
      <w:r w:rsidRPr="00844D3A">
        <w:rPr>
          <w:rFonts w:eastAsia="SimSun"/>
        </w:rPr>
        <w:t>s.</w:t>
      </w:r>
      <w:r w:rsidRPr="00844D3A">
        <w:t xml:space="preserve"> </w:t>
      </w:r>
      <w:r w:rsidRPr="00844D3A">
        <w:rPr>
          <w:rFonts w:eastAsia="SimSun"/>
        </w:rPr>
        <w:t xml:space="preserve">For </w:t>
      </w:r>
      <w:r w:rsidRPr="00844D3A">
        <w:t>PLX4720</w:t>
      </w:r>
      <w:r w:rsidRPr="00844D3A">
        <w:rPr>
          <w:rFonts w:eastAsia="SimSun"/>
        </w:rPr>
        <w:t xml:space="preserve"> and SBI-756 combination experiments, </w:t>
      </w:r>
      <w:r w:rsidRPr="00844D3A">
        <w:t xml:space="preserve">mice were </w:t>
      </w:r>
      <w:r w:rsidRPr="00844D3A">
        <w:rPr>
          <w:rFonts w:eastAsia="SimSun"/>
        </w:rPr>
        <w:t xml:space="preserve">either fed </w:t>
      </w:r>
      <w:r w:rsidRPr="00844D3A">
        <w:t>PLX4720-containing</w:t>
      </w:r>
      <w:r w:rsidRPr="00844D3A">
        <w:rPr>
          <w:rFonts w:eastAsia="SimSun"/>
        </w:rPr>
        <w:t xml:space="preserve"> </w:t>
      </w:r>
      <w:r w:rsidRPr="00844D3A">
        <w:t xml:space="preserve">chow </w:t>
      </w:r>
      <w:r w:rsidRPr="00844D3A">
        <w:rPr>
          <w:rFonts w:eastAsia="SimSun"/>
        </w:rPr>
        <w:t>alone (</w:t>
      </w:r>
      <w:r w:rsidRPr="00844D3A">
        <w:t xml:space="preserve">AIN76A </w:t>
      </w:r>
      <w:proofErr w:type="spellStart"/>
      <w:r w:rsidRPr="00844D3A">
        <w:t>Roden</w:t>
      </w:r>
      <w:proofErr w:type="spellEnd"/>
      <w:r w:rsidRPr="00844D3A">
        <w:t xml:space="preserve"> Diet with 417mg PLX4720/kg</w:t>
      </w:r>
      <w:r w:rsidRPr="00844D3A">
        <w:rPr>
          <w:rFonts w:eastAsia="SimSun"/>
        </w:rPr>
        <w:t xml:space="preserve"> from Open Source Diets) for the control group or </w:t>
      </w:r>
      <w:r w:rsidRPr="00844D3A">
        <w:t>PLX4720-containing</w:t>
      </w:r>
      <w:r w:rsidRPr="00844D3A">
        <w:rPr>
          <w:rFonts w:eastAsia="SimSun"/>
        </w:rPr>
        <w:t xml:space="preserve"> chow plus an IP injection of 1 mg/kg SBI-756 twice a week. </w:t>
      </w:r>
    </w:p>
    <w:p w14:paraId="28A66328" w14:textId="17BAA752" w:rsidR="00541A80" w:rsidRPr="00844D3A" w:rsidRDefault="00541A80" w:rsidP="00541A80">
      <w:pPr>
        <w:pStyle w:val="p"/>
        <w:shd w:val="clear" w:color="auto" w:fill="FFFFFF"/>
        <w:spacing w:before="0" w:beforeAutospacing="0" w:after="0" w:afterAutospacing="0" w:line="480" w:lineRule="auto"/>
        <w:rPr>
          <w:rFonts w:asciiTheme="minorHAnsi" w:eastAsia="SimSun" w:hAnsiTheme="minorHAnsi"/>
        </w:rPr>
      </w:pPr>
      <w:r w:rsidRPr="00844D3A">
        <w:rPr>
          <w:rFonts w:asciiTheme="minorHAnsi" w:hAnsiTheme="minorHAnsi"/>
        </w:rPr>
        <w:t xml:space="preserve">Mice were maintained in a pathogen-free environment with free access to food. Body weight and tumor volume were measured twice a week. Tumor size was measured with linear calipers and calculated using the formula: ([length in millimeters × (width in </w:t>
      </w:r>
      <w:proofErr w:type="gramStart"/>
      <w:r w:rsidRPr="00844D3A">
        <w:rPr>
          <w:rFonts w:asciiTheme="minorHAnsi" w:hAnsiTheme="minorHAnsi"/>
        </w:rPr>
        <w:t>millimeters)</w:t>
      </w:r>
      <w:r w:rsidRPr="00844D3A">
        <w:rPr>
          <w:rFonts w:asciiTheme="minorHAnsi" w:hAnsiTheme="minorHAnsi"/>
          <w:vertAlign w:val="superscript"/>
        </w:rPr>
        <w:t>2</w:t>
      </w:r>
      <w:proofErr w:type="gramEnd"/>
      <w:r w:rsidRPr="00844D3A">
        <w:rPr>
          <w:rFonts w:asciiTheme="minorHAnsi" w:hAnsiTheme="minorHAnsi"/>
        </w:rPr>
        <w:t>]/</w:t>
      </w:r>
      <w:r w:rsidR="00EC3E5D" w:rsidRPr="00844D3A">
        <w:rPr>
          <w:rFonts w:asciiTheme="minorHAnsi" w:hAnsiTheme="minorHAnsi"/>
        </w:rPr>
        <w:t>1</w:t>
      </w:r>
      <w:r w:rsidRPr="00844D3A">
        <w:rPr>
          <w:rFonts w:asciiTheme="minorHAnsi" w:hAnsiTheme="minorHAnsi"/>
        </w:rPr>
        <w:t>). Mice were sacrificed after 4 weeks and tumors were fixed in Z-Fix (</w:t>
      </w:r>
      <w:proofErr w:type="spellStart"/>
      <w:r w:rsidRPr="00844D3A">
        <w:rPr>
          <w:rFonts w:asciiTheme="minorHAnsi" w:hAnsiTheme="minorHAnsi"/>
        </w:rPr>
        <w:t>Anatech</w:t>
      </w:r>
      <w:proofErr w:type="spellEnd"/>
      <w:r w:rsidRPr="00844D3A">
        <w:rPr>
          <w:rFonts w:asciiTheme="minorHAnsi" w:hAnsiTheme="minorHAnsi"/>
        </w:rPr>
        <w:t>, Battle Creek, MI) and embedded in paraffin for immunohistochemistry.</w:t>
      </w:r>
    </w:p>
    <w:p w14:paraId="1236C2A3" w14:textId="77777777" w:rsidR="00541A80" w:rsidRPr="00844D3A" w:rsidRDefault="00541A80" w:rsidP="00541A80">
      <w:pPr>
        <w:autoSpaceDE w:val="0"/>
        <w:autoSpaceDN w:val="0"/>
        <w:adjustRightInd w:val="0"/>
        <w:spacing w:line="480" w:lineRule="auto"/>
        <w:rPr>
          <w:b/>
          <w:iCs/>
        </w:rPr>
      </w:pPr>
    </w:p>
    <w:p w14:paraId="15006EA3" w14:textId="77777777" w:rsidR="00341404" w:rsidRPr="00844D3A" w:rsidRDefault="00541A80" w:rsidP="00541A80">
      <w:pPr>
        <w:spacing w:line="480" w:lineRule="auto"/>
      </w:pPr>
      <w:r w:rsidRPr="00844D3A">
        <w:rPr>
          <w:b/>
          <w:iCs/>
        </w:rPr>
        <w:lastRenderedPageBreak/>
        <w:t>Statistical analysis</w:t>
      </w:r>
      <w:r w:rsidRPr="00844D3A">
        <w:rPr>
          <w:iCs/>
        </w:rPr>
        <w:t xml:space="preserve">. </w:t>
      </w:r>
      <w:r w:rsidRPr="00844D3A">
        <w:t xml:space="preserve">Most results are shown as an average ± standard deviation. Significance was determined using a two-tailed Student’s </w:t>
      </w:r>
      <w:r w:rsidRPr="00844D3A">
        <w:rPr>
          <w:i/>
          <w:iCs/>
        </w:rPr>
        <w:t>t</w:t>
      </w:r>
      <w:r w:rsidRPr="00844D3A">
        <w:t xml:space="preserve">-test. A value of </w:t>
      </w:r>
      <w:r w:rsidRPr="00844D3A">
        <w:rPr>
          <w:i/>
          <w:iCs/>
        </w:rPr>
        <w:t xml:space="preserve">p </w:t>
      </w:r>
      <w:r w:rsidRPr="00844D3A">
        <w:t>&lt; 0.05 was considered significant. Specific tests are indicated in figure legends.</w:t>
      </w:r>
    </w:p>
    <w:p w14:paraId="5E1811A1" w14:textId="77777777" w:rsidR="00341404" w:rsidRPr="00844D3A" w:rsidRDefault="00341404" w:rsidP="00541A80">
      <w:pPr>
        <w:spacing w:line="480" w:lineRule="auto"/>
      </w:pPr>
    </w:p>
    <w:p w14:paraId="583F1B15" w14:textId="07FEDD4F" w:rsidR="00341404" w:rsidRPr="00844D3A" w:rsidRDefault="00341404" w:rsidP="00541A80">
      <w:pPr>
        <w:spacing w:line="480" w:lineRule="auto"/>
        <w:rPr>
          <w:b/>
        </w:rPr>
      </w:pPr>
      <w:r w:rsidRPr="00844D3A">
        <w:rPr>
          <w:b/>
        </w:rPr>
        <w:t>Supplementary Reference</w:t>
      </w:r>
    </w:p>
    <w:p w14:paraId="3F60001E" w14:textId="308694B9" w:rsidR="00AE44DF" w:rsidRPr="00844D3A" w:rsidRDefault="00EC3E5D" w:rsidP="00AE44DF">
      <w:pPr>
        <w:pStyle w:val="Title"/>
        <w:rPr>
          <w:rFonts w:ascii="Cambria" w:hAnsi="Cambria"/>
          <w:noProof/>
          <w:sz w:val="24"/>
          <w:szCs w:val="24"/>
        </w:rPr>
      </w:pPr>
      <w:r w:rsidRPr="00844D3A">
        <w:rPr>
          <w:rFonts w:asciiTheme="minorHAnsi" w:eastAsiaTheme="minorHAnsi" w:hAnsiTheme="minorHAnsi" w:cs="AdvPSA183"/>
          <w:sz w:val="24"/>
          <w:szCs w:val="24"/>
        </w:rPr>
        <w:t>1</w:t>
      </w:r>
      <w:r w:rsidR="00AE44DF" w:rsidRPr="00844D3A">
        <w:rPr>
          <w:rFonts w:asciiTheme="minorHAnsi" w:eastAsiaTheme="minorHAnsi" w:hAnsiTheme="minorHAnsi" w:cs="AdvPSA183"/>
          <w:sz w:val="24"/>
          <w:szCs w:val="24"/>
        </w:rPr>
        <w:t xml:space="preserve">. </w:t>
      </w:r>
      <w:r w:rsidR="00AE44DF" w:rsidRPr="00844D3A">
        <w:rPr>
          <w:rStyle w:val="highlight"/>
          <w:rFonts w:asciiTheme="minorHAnsi" w:eastAsia="Times New Roman" w:hAnsiTheme="minorHAnsi" w:cs="Times New Roman"/>
          <w:sz w:val="24"/>
          <w:szCs w:val="24"/>
        </w:rPr>
        <w:t>Wilson</w:t>
      </w:r>
      <w:r w:rsidR="00AE44DF" w:rsidRPr="00844D3A">
        <w:rPr>
          <w:rFonts w:asciiTheme="minorHAnsi" w:eastAsia="Times New Roman" w:hAnsiTheme="minorHAnsi" w:cs="Times New Roman"/>
          <w:sz w:val="24"/>
          <w:szCs w:val="24"/>
        </w:rPr>
        <w:t xml:space="preserve"> JE, Powell MJ, Hoover SE, </w:t>
      </w:r>
      <w:proofErr w:type="spellStart"/>
      <w:r w:rsidR="00AE44DF" w:rsidRPr="00844D3A">
        <w:rPr>
          <w:rFonts w:asciiTheme="minorHAnsi" w:eastAsia="Times New Roman" w:hAnsiTheme="minorHAnsi" w:cs="Times New Roman"/>
          <w:sz w:val="24"/>
          <w:szCs w:val="24"/>
        </w:rPr>
        <w:t>Sarnow</w:t>
      </w:r>
      <w:proofErr w:type="spellEnd"/>
      <w:r w:rsidR="00AE44DF" w:rsidRPr="00844D3A">
        <w:rPr>
          <w:rFonts w:asciiTheme="minorHAnsi" w:eastAsia="Times New Roman" w:hAnsiTheme="minorHAnsi" w:cs="Times New Roman"/>
          <w:sz w:val="24"/>
          <w:szCs w:val="24"/>
        </w:rPr>
        <w:t xml:space="preserve"> P. Naturally occurring </w:t>
      </w:r>
      <w:proofErr w:type="spellStart"/>
      <w:r w:rsidR="00AE44DF" w:rsidRPr="00844D3A">
        <w:rPr>
          <w:rFonts w:asciiTheme="minorHAnsi" w:eastAsia="Times New Roman" w:hAnsiTheme="minorHAnsi" w:cs="Times New Roman"/>
          <w:sz w:val="24"/>
          <w:szCs w:val="24"/>
        </w:rPr>
        <w:t>dicistronic</w:t>
      </w:r>
      <w:proofErr w:type="spellEnd"/>
      <w:r w:rsidR="00AE44DF" w:rsidRPr="00844D3A">
        <w:rPr>
          <w:rFonts w:asciiTheme="minorHAnsi" w:eastAsia="Times New Roman" w:hAnsiTheme="minorHAnsi" w:cs="Times New Roman"/>
          <w:sz w:val="24"/>
          <w:szCs w:val="24"/>
        </w:rPr>
        <w:t xml:space="preserve"> cricket paralysis virus RNA is regulated by two internal ribosome entry sites. </w:t>
      </w:r>
      <w:r w:rsidR="00AE44DF" w:rsidRPr="00844D3A">
        <w:rPr>
          <w:rFonts w:asciiTheme="minorHAnsi" w:eastAsiaTheme="minorHAnsi" w:hAnsiTheme="minorHAnsi" w:cs="AdvPSA183"/>
          <w:sz w:val="24"/>
          <w:szCs w:val="24"/>
        </w:rPr>
        <w:t xml:space="preserve">Mol. Cell. Biol. 2000; </w:t>
      </w:r>
      <w:r w:rsidR="00AE44DF" w:rsidRPr="00844D3A">
        <w:rPr>
          <w:rFonts w:asciiTheme="minorHAnsi" w:eastAsiaTheme="minorHAnsi" w:hAnsiTheme="minorHAnsi" w:cs="Advhelvneue-italic"/>
          <w:sz w:val="24"/>
          <w:szCs w:val="24"/>
        </w:rPr>
        <w:t>20</w:t>
      </w:r>
      <w:r w:rsidR="00AE44DF" w:rsidRPr="00844D3A">
        <w:rPr>
          <w:rFonts w:asciiTheme="minorHAnsi" w:eastAsiaTheme="minorHAnsi" w:hAnsiTheme="minorHAnsi" w:cs="AdvPSA183"/>
          <w:sz w:val="24"/>
          <w:szCs w:val="24"/>
        </w:rPr>
        <w:t>, 4990–4999</w:t>
      </w:r>
      <w:r w:rsidR="00AE44DF" w:rsidRPr="00844D3A">
        <w:rPr>
          <w:rFonts w:asciiTheme="minorHAnsi" w:hAnsiTheme="minorHAnsi" w:cs="Times New Roman"/>
          <w:sz w:val="24"/>
          <w:szCs w:val="24"/>
        </w:rPr>
        <w:t>.</w:t>
      </w:r>
      <w:r w:rsidR="00AE44DF" w:rsidRPr="00844D3A">
        <w:rPr>
          <w:rFonts w:ascii="Cambria" w:hAnsi="Cambria"/>
          <w:noProof/>
          <w:sz w:val="24"/>
          <w:szCs w:val="24"/>
        </w:rPr>
        <w:t xml:space="preserve"> </w:t>
      </w:r>
    </w:p>
    <w:p w14:paraId="15009F69" w14:textId="5BBAE500" w:rsidR="00AE44DF" w:rsidRPr="00844D3A" w:rsidRDefault="00EC3E5D" w:rsidP="00AE44DF">
      <w:pPr>
        <w:pStyle w:val="Title"/>
        <w:rPr>
          <w:rFonts w:cs="Times New Roman"/>
          <w:sz w:val="24"/>
          <w:szCs w:val="24"/>
        </w:rPr>
      </w:pPr>
      <w:r w:rsidRPr="00844D3A">
        <w:rPr>
          <w:rFonts w:ascii="Cambria" w:hAnsi="Cambria"/>
          <w:noProof/>
          <w:sz w:val="24"/>
          <w:szCs w:val="24"/>
        </w:rPr>
        <w:t>2</w:t>
      </w:r>
      <w:r w:rsidR="00AE44DF" w:rsidRPr="00844D3A">
        <w:rPr>
          <w:rFonts w:ascii="Cambria" w:hAnsi="Cambria"/>
          <w:noProof/>
          <w:sz w:val="24"/>
          <w:szCs w:val="24"/>
        </w:rPr>
        <w:t xml:space="preserve">.  </w:t>
      </w:r>
      <w:proofErr w:type="spellStart"/>
      <w:r w:rsidR="00AE44DF" w:rsidRPr="00844D3A">
        <w:rPr>
          <w:rFonts w:asciiTheme="minorHAnsi" w:hAnsiTheme="minorHAnsi" w:cs="Times New Roman"/>
          <w:bCs/>
          <w:sz w:val="24"/>
          <w:szCs w:val="24"/>
        </w:rPr>
        <w:t>Moerke</w:t>
      </w:r>
      <w:proofErr w:type="spellEnd"/>
      <w:r w:rsidR="00AE44DF" w:rsidRPr="00844D3A">
        <w:rPr>
          <w:rFonts w:asciiTheme="minorHAnsi" w:hAnsiTheme="minorHAnsi" w:cs="Times New Roman"/>
          <w:sz w:val="24"/>
          <w:szCs w:val="24"/>
        </w:rPr>
        <w:t xml:space="preserve"> NJ, </w:t>
      </w:r>
      <w:proofErr w:type="spellStart"/>
      <w:r w:rsidR="00AE44DF" w:rsidRPr="00844D3A">
        <w:rPr>
          <w:rFonts w:asciiTheme="minorHAnsi" w:hAnsiTheme="minorHAnsi" w:cs="Times New Roman"/>
          <w:sz w:val="24"/>
          <w:szCs w:val="24"/>
        </w:rPr>
        <w:t>Aktas</w:t>
      </w:r>
      <w:proofErr w:type="spellEnd"/>
      <w:r w:rsidR="00AE44DF" w:rsidRPr="00844D3A">
        <w:rPr>
          <w:rFonts w:asciiTheme="minorHAnsi" w:hAnsiTheme="minorHAnsi" w:cs="Times New Roman"/>
          <w:sz w:val="24"/>
          <w:szCs w:val="24"/>
        </w:rPr>
        <w:t xml:space="preserve"> H, Chen H, </w:t>
      </w:r>
      <w:proofErr w:type="spellStart"/>
      <w:r w:rsidR="00AE44DF" w:rsidRPr="00844D3A">
        <w:rPr>
          <w:rFonts w:asciiTheme="minorHAnsi" w:hAnsiTheme="minorHAnsi" w:cs="Times New Roman"/>
          <w:sz w:val="24"/>
          <w:szCs w:val="24"/>
        </w:rPr>
        <w:t>Cantel</w:t>
      </w:r>
      <w:proofErr w:type="spellEnd"/>
      <w:r w:rsidR="00AE44DF" w:rsidRPr="00844D3A">
        <w:rPr>
          <w:rFonts w:asciiTheme="minorHAnsi" w:hAnsiTheme="minorHAnsi" w:cs="Times New Roman"/>
          <w:sz w:val="24"/>
          <w:szCs w:val="24"/>
        </w:rPr>
        <w:t xml:space="preserve"> S, </w:t>
      </w:r>
      <w:r w:rsidR="0064330E" w:rsidRPr="00844D3A">
        <w:rPr>
          <w:rFonts w:asciiTheme="minorHAnsi" w:hAnsiTheme="minorHAnsi" w:cs="Times New Roman"/>
          <w:sz w:val="24"/>
          <w:szCs w:val="24"/>
        </w:rPr>
        <w:t>et al.</w:t>
      </w:r>
      <w:proofErr w:type="gramStart"/>
      <w:r w:rsidR="0064330E" w:rsidRPr="00844D3A">
        <w:rPr>
          <w:rFonts w:asciiTheme="minorHAnsi" w:hAnsiTheme="minorHAnsi" w:cs="Times New Roman"/>
          <w:sz w:val="24"/>
          <w:szCs w:val="24"/>
        </w:rPr>
        <w:t>,</w:t>
      </w:r>
      <w:r w:rsidR="00AE44DF" w:rsidRPr="00844D3A">
        <w:rPr>
          <w:rFonts w:asciiTheme="minorHAnsi" w:hAnsiTheme="minorHAnsi" w:cs="Times New Roman"/>
          <w:sz w:val="24"/>
          <w:szCs w:val="24"/>
        </w:rPr>
        <w:t>.</w:t>
      </w:r>
      <w:proofErr w:type="gramEnd"/>
      <w:r w:rsidR="00AE44DF" w:rsidRPr="00844D3A">
        <w:rPr>
          <w:rFonts w:asciiTheme="minorHAnsi" w:hAnsiTheme="minorHAnsi" w:cs="Times New Roman"/>
          <w:sz w:val="24"/>
          <w:szCs w:val="24"/>
        </w:rPr>
        <w:t xml:space="preserve"> Small-molecule inhibition of the interaction between the translation initiation factors eIF4E and eIF4G.</w:t>
      </w:r>
      <w:r w:rsidR="00AE44DF" w:rsidRPr="00844D3A">
        <w:rPr>
          <w:rStyle w:val="jrnl"/>
          <w:rFonts w:asciiTheme="minorHAnsi" w:hAnsiTheme="minorHAnsi" w:cs="Times New Roman"/>
          <w:bCs/>
          <w:sz w:val="24"/>
          <w:szCs w:val="24"/>
        </w:rPr>
        <w:t xml:space="preserve"> Cell</w:t>
      </w:r>
      <w:r w:rsidR="00AE44DF" w:rsidRPr="00844D3A">
        <w:rPr>
          <w:rFonts w:asciiTheme="minorHAnsi" w:hAnsiTheme="minorHAnsi" w:cs="Times New Roman"/>
          <w:sz w:val="24"/>
          <w:szCs w:val="24"/>
        </w:rPr>
        <w:t>. 2007; 128(2)</w:t>
      </w:r>
      <w:proofErr w:type="gramStart"/>
      <w:r w:rsidR="00AE44DF" w:rsidRPr="00844D3A">
        <w:rPr>
          <w:rFonts w:asciiTheme="minorHAnsi" w:hAnsiTheme="minorHAnsi" w:cs="Times New Roman"/>
          <w:sz w:val="24"/>
          <w:szCs w:val="24"/>
        </w:rPr>
        <w:t>:257</w:t>
      </w:r>
      <w:proofErr w:type="gramEnd"/>
      <w:r w:rsidR="00AE44DF" w:rsidRPr="00844D3A">
        <w:rPr>
          <w:rFonts w:asciiTheme="minorHAnsi" w:hAnsiTheme="minorHAnsi" w:cs="Times New Roman"/>
          <w:sz w:val="24"/>
          <w:szCs w:val="24"/>
        </w:rPr>
        <w:t>-67.</w:t>
      </w:r>
    </w:p>
    <w:p w14:paraId="45FA5540" w14:textId="35CDC9E5" w:rsidR="0064330E" w:rsidRPr="00844D3A" w:rsidRDefault="0064330E" w:rsidP="00AE44DF">
      <w:pPr>
        <w:rPr>
          <w:rFonts w:ascii="Cambria" w:hAnsi="Cambria"/>
          <w:noProof/>
        </w:rPr>
      </w:pPr>
      <w:r w:rsidRPr="00844D3A">
        <w:fldChar w:fldCharType="begin"/>
      </w:r>
      <w:r w:rsidRPr="00844D3A">
        <w:instrText xml:space="preserve"> ADDIN EN.REFLIST </w:instrText>
      </w:r>
      <w:r w:rsidRPr="00844D3A">
        <w:fldChar w:fldCharType="separate"/>
      </w:r>
      <w:r w:rsidR="00EC3E5D" w:rsidRPr="00844D3A">
        <w:rPr>
          <w:rFonts w:ascii="Cambria" w:hAnsi="Cambria"/>
          <w:noProof/>
        </w:rPr>
        <w:t>3</w:t>
      </w:r>
      <w:r w:rsidRPr="00844D3A">
        <w:rPr>
          <w:rFonts w:ascii="Cambria" w:hAnsi="Cambria"/>
          <w:noProof/>
        </w:rPr>
        <w:t>.  Tibes R, Qiu Y, Lu Y, Hennessy B, Andreeff M2 Mills GB, et al. Reverse phase protein array: validation of a novel proteomic technology and utility for analysis of primary leukemia specimens and hematopoietic stem cells. Molecular cancer therapeutics 2006; 5(10):2512-21.</w:t>
      </w:r>
    </w:p>
    <w:p w14:paraId="2FA55DA1" w14:textId="77777777" w:rsidR="0064330E" w:rsidRPr="00844D3A" w:rsidRDefault="0064330E" w:rsidP="00AE44DF">
      <w:pPr>
        <w:pStyle w:val="desc"/>
        <w:rPr>
          <w:rFonts w:cs="Times New Roman"/>
        </w:rPr>
      </w:pPr>
    </w:p>
    <w:p w14:paraId="7605BA1C" w14:textId="77777777" w:rsidR="0064330E" w:rsidRPr="00844D3A" w:rsidRDefault="0064330E" w:rsidP="00AE44DF">
      <w:pPr>
        <w:rPr>
          <w:rFonts w:ascii="Cambria" w:hAnsi="Cambria"/>
          <w:noProof/>
        </w:rPr>
      </w:pPr>
    </w:p>
    <w:p w14:paraId="54C1AF18" w14:textId="77777777" w:rsidR="0064330E" w:rsidRPr="00844D3A" w:rsidRDefault="0064330E" w:rsidP="00026F48">
      <w:pPr>
        <w:rPr>
          <w:noProof/>
        </w:rPr>
      </w:pPr>
    </w:p>
    <w:p w14:paraId="59D5972B" w14:textId="0FF436C3" w:rsidR="003C5DFE" w:rsidRPr="00844D3A" w:rsidRDefault="0064330E" w:rsidP="00541A80">
      <w:pPr>
        <w:spacing w:line="480" w:lineRule="auto"/>
      </w:pPr>
      <w:r w:rsidRPr="00844D3A">
        <w:fldChar w:fldCharType="end"/>
      </w:r>
    </w:p>
    <w:sectPr w:rsidR="003C5DFE" w:rsidRPr="00844D3A" w:rsidSect="00E147BD">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F2BFB" w14:textId="77777777" w:rsidR="00B72492" w:rsidRDefault="00B72492" w:rsidP="000A5B12">
      <w:r>
        <w:separator/>
      </w:r>
    </w:p>
  </w:endnote>
  <w:endnote w:type="continuationSeparator" w:id="0">
    <w:p w14:paraId="4AFD7AD2" w14:textId="77777777" w:rsidR="00B72492" w:rsidRDefault="00B72492" w:rsidP="000A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dvOTe4bfdd46">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AdvPSA183">
    <w:altName w:val="Cambria"/>
    <w:panose1 w:val="00000000000000000000"/>
    <w:charset w:val="00"/>
    <w:family w:val="swiss"/>
    <w:notTrueType/>
    <w:pitch w:val="default"/>
    <w:sig w:usb0="00000003" w:usb1="00000000" w:usb2="00000000" w:usb3="00000000" w:csb0="00000001" w:csb1="00000000"/>
  </w:font>
  <w:font w:name="Advhelvneue-italic">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FADB8" w14:textId="77777777" w:rsidR="004E7950" w:rsidRDefault="004E7950" w:rsidP="00026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23BCD2" w14:textId="77777777" w:rsidR="004E7950" w:rsidRDefault="004E7950" w:rsidP="00682A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9447F" w14:textId="77777777" w:rsidR="004E7950" w:rsidRDefault="004E7950" w:rsidP="00026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D3A">
      <w:rPr>
        <w:rStyle w:val="PageNumber"/>
        <w:noProof/>
      </w:rPr>
      <w:t>2</w:t>
    </w:r>
    <w:r>
      <w:rPr>
        <w:rStyle w:val="PageNumber"/>
      </w:rPr>
      <w:fldChar w:fldCharType="end"/>
    </w:r>
  </w:p>
  <w:p w14:paraId="21AB1B0B" w14:textId="77777777" w:rsidR="004E7950" w:rsidRDefault="004E7950" w:rsidP="00682A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7B043" w14:textId="77777777" w:rsidR="00B72492" w:rsidRDefault="00B72492" w:rsidP="000A5B12">
      <w:r>
        <w:separator/>
      </w:r>
    </w:p>
  </w:footnote>
  <w:footnote w:type="continuationSeparator" w:id="0">
    <w:p w14:paraId="4B9D3BE1" w14:textId="77777777" w:rsidR="00B72492" w:rsidRDefault="00B72492" w:rsidP="000A5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 Non_s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v0xsvtd1ps9aieardsvszthsvf2redfxpap&quot;&gt;Methods&lt;record-ids&gt;&lt;item&gt;1&lt;/item&gt;&lt;/record-ids&gt;&lt;/item&gt;&lt;/Libraries&gt;"/>
  </w:docVars>
  <w:rsids>
    <w:rsidRoot w:val="00541A80"/>
    <w:rsid w:val="00026F48"/>
    <w:rsid w:val="000A5B12"/>
    <w:rsid w:val="00341404"/>
    <w:rsid w:val="003B7CF1"/>
    <w:rsid w:val="003C5DFE"/>
    <w:rsid w:val="003E1FAF"/>
    <w:rsid w:val="0047481A"/>
    <w:rsid w:val="004E7950"/>
    <w:rsid w:val="00516E15"/>
    <w:rsid w:val="00541A80"/>
    <w:rsid w:val="005C5640"/>
    <w:rsid w:val="0064330E"/>
    <w:rsid w:val="00682A3D"/>
    <w:rsid w:val="00791BE0"/>
    <w:rsid w:val="00844D3A"/>
    <w:rsid w:val="008610EA"/>
    <w:rsid w:val="00870881"/>
    <w:rsid w:val="009B3170"/>
    <w:rsid w:val="00AE44DF"/>
    <w:rsid w:val="00AF1C75"/>
    <w:rsid w:val="00B37087"/>
    <w:rsid w:val="00B72492"/>
    <w:rsid w:val="00CF5960"/>
    <w:rsid w:val="00DA2BFF"/>
    <w:rsid w:val="00E147BD"/>
    <w:rsid w:val="00EC3E5D"/>
    <w:rsid w:val="00F23329"/>
    <w:rsid w:val="00F454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1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80"/>
  </w:style>
  <w:style w:type="paragraph" w:styleId="Heading1">
    <w:name w:val="heading 1"/>
    <w:basedOn w:val="Normal"/>
    <w:link w:val="Heading1Char"/>
    <w:uiPriority w:val="9"/>
    <w:qFormat/>
    <w:rsid w:val="00AE44D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A80"/>
    <w:rPr>
      <w:rFonts w:ascii="Lucida Grande" w:hAnsi="Lucida Grande" w:cs="Lucida Grande"/>
      <w:sz w:val="18"/>
      <w:szCs w:val="18"/>
    </w:rPr>
  </w:style>
  <w:style w:type="character" w:customStyle="1" w:styleId="sc1">
    <w:name w:val="sc1"/>
    <w:rsid w:val="00541A80"/>
    <w:rPr>
      <w:caps/>
      <w:sz w:val="20"/>
      <w:szCs w:val="20"/>
    </w:rPr>
  </w:style>
  <w:style w:type="character" w:customStyle="1" w:styleId="apple-converted-space">
    <w:name w:val="apple-converted-space"/>
    <w:rsid w:val="00541A80"/>
  </w:style>
  <w:style w:type="paragraph" w:customStyle="1" w:styleId="p">
    <w:name w:val="p"/>
    <w:basedOn w:val="Normal"/>
    <w:rsid w:val="00541A80"/>
    <w:pPr>
      <w:spacing w:before="100" w:beforeAutospacing="1" w:after="100" w:afterAutospacing="1"/>
    </w:pPr>
    <w:rPr>
      <w:rFonts w:ascii="Times New Roman" w:eastAsia="Times New Roman" w:hAnsi="Times New Roman" w:cs="Times New Roman"/>
      <w:lang w:eastAsia="zh-CN"/>
    </w:rPr>
  </w:style>
  <w:style w:type="character" w:styleId="Emphasis">
    <w:name w:val="Emphasis"/>
    <w:uiPriority w:val="20"/>
    <w:qFormat/>
    <w:rsid w:val="00541A80"/>
    <w:rPr>
      <w:i/>
      <w:iCs/>
    </w:rPr>
  </w:style>
  <w:style w:type="paragraph" w:styleId="Footer">
    <w:name w:val="footer"/>
    <w:basedOn w:val="Normal"/>
    <w:link w:val="FooterChar"/>
    <w:uiPriority w:val="99"/>
    <w:unhideWhenUsed/>
    <w:rsid w:val="00541A80"/>
    <w:pPr>
      <w:tabs>
        <w:tab w:val="center" w:pos="4320"/>
        <w:tab w:val="right" w:pos="8640"/>
      </w:tabs>
    </w:pPr>
  </w:style>
  <w:style w:type="character" w:customStyle="1" w:styleId="FooterChar">
    <w:name w:val="Footer Char"/>
    <w:basedOn w:val="DefaultParagraphFont"/>
    <w:link w:val="Footer"/>
    <w:uiPriority w:val="99"/>
    <w:rsid w:val="00541A80"/>
  </w:style>
  <w:style w:type="character" w:styleId="PageNumber">
    <w:name w:val="page number"/>
    <w:basedOn w:val="DefaultParagraphFont"/>
    <w:uiPriority w:val="99"/>
    <w:semiHidden/>
    <w:unhideWhenUsed/>
    <w:rsid w:val="00541A80"/>
  </w:style>
  <w:style w:type="character" w:styleId="Hyperlink">
    <w:name w:val="Hyperlink"/>
    <w:basedOn w:val="DefaultParagraphFont"/>
    <w:uiPriority w:val="99"/>
    <w:unhideWhenUsed/>
    <w:rsid w:val="00541A80"/>
    <w:rPr>
      <w:color w:val="0000FF" w:themeColor="hyperlink"/>
      <w:u w:val="single"/>
    </w:rPr>
  </w:style>
  <w:style w:type="character" w:styleId="CommentReference">
    <w:name w:val="annotation reference"/>
    <w:basedOn w:val="DefaultParagraphFont"/>
    <w:uiPriority w:val="99"/>
    <w:semiHidden/>
    <w:unhideWhenUsed/>
    <w:rsid w:val="00541A80"/>
    <w:rPr>
      <w:sz w:val="18"/>
      <w:szCs w:val="18"/>
    </w:rPr>
  </w:style>
  <w:style w:type="paragraph" w:styleId="CommentText">
    <w:name w:val="annotation text"/>
    <w:basedOn w:val="Normal"/>
    <w:link w:val="CommentTextChar"/>
    <w:uiPriority w:val="99"/>
    <w:semiHidden/>
    <w:unhideWhenUsed/>
    <w:rsid w:val="00541A80"/>
  </w:style>
  <w:style w:type="character" w:customStyle="1" w:styleId="CommentTextChar">
    <w:name w:val="Comment Text Char"/>
    <w:basedOn w:val="DefaultParagraphFont"/>
    <w:link w:val="CommentText"/>
    <w:uiPriority w:val="99"/>
    <w:semiHidden/>
    <w:rsid w:val="00541A80"/>
  </w:style>
  <w:style w:type="paragraph" w:styleId="CommentSubject">
    <w:name w:val="annotation subject"/>
    <w:basedOn w:val="CommentText"/>
    <w:next w:val="CommentText"/>
    <w:link w:val="CommentSubjectChar"/>
    <w:uiPriority w:val="99"/>
    <w:semiHidden/>
    <w:unhideWhenUsed/>
    <w:rsid w:val="00541A80"/>
    <w:rPr>
      <w:b/>
      <w:bCs/>
      <w:sz w:val="20"/>
      <w:szCs w:val="20"/>
    </w:rPr>
  </w:style>
  <w:style w:type="character" w:customStyle="1" w:styleId="CommentSubjectChar">
    <w:name w:val="Comment Subject Char"/>
    <w:basedOn w:val="CommentTextChar"/>
    <w:link w:val="CommentSubject"/>
    <w:uiPriority w:val="99"/>
    <w:semiHidden/>
    <w:rsid w:val="00541A80"/>
    <w:rPr>
      <w:b/>
      <w:bCs/>
      <w:sz w:val="20"/>
      <w:szCs w:val="20"/>
    </w:rPr>
  </w:style>
  <w:style w:type="paragraph" w:styleId="NormalWeb">
    <w:name w:val="Normal (Web)"/>
    <w:basedOn w:val="Normal"/>
    <w:uiPriority w:val="99"/>
    <w:semiHidden/>
    <w:unhideWhenUsed/>
    <w:rsid w:val="00541A80"/>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541A80"/>
  </w:style>
  <w:style w:type="character" w:customStyle="1" w:styleId="Heading1Char">
    <w:name w:val="Heading 1 Char"/>
    <w:basedOn w:val="DefaultParagraphFont"/>
    <w:link w:val="Heading1"/>
    <w:uiPriority w:val="9"/>
    <w:rsid w:val="00AE44DF"/>
    <w:rPr>
      <w:rFonts w:ascii="Times" w:hAnsi="Times"/>
      <w:b/>
      <w:bCs/>
      <w:kern w:val="36"/>
      <w:sz w:val="48"/>
      <w:szCs w:val="48"/>
    </w:rPr>
  </w:style>
  <w:style w:type="paragraph" w:styleId="Title">
    <w:name w:val="Title"/>
    <w:aliases w:val="title"/>
    <w:basedOn w:val="Normal"/>
    <w:link w:val="TitleChar"/>
    <w:uiPriority w:val="10"/>
    <w:qFormat/>
    <w:rsid w:val="00AE44DF"/>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AE44DF"/>
    <w:rPr>
      <w:rFonts w:ascii="Times" w:hAnsi="Times"/>
      <w:sz w:val="20"/>
      <w:szCs w:val="20"/>
    </w:rPr>
  </w:style>
  <w:style w:type="paragraph" w:customStyle="1" w:styleId="desc">
    <w:name w:val="desc"/>
    <w:basedOn w:val="Normal"/>
    <w:rsid w:val="00AE44DF"/>
    <w:pPr>
      <w:spacing w:before="100" w:beforeAutospacing="1" w:after="100" w:afterAutospacing="1"/>
    </w:pPr>
    <w:rPr>
      <w:rFonts w:ascii="Times" w:hAnsi="Times"/>
      <w:sz w:val="20"/>
      <w:szCs w:val="20"/>
    </w:rPr>
  </w:style>
  <w:style w:type="paragraph" w:customStyle="1" w:styleId="details">
    <w:name w:val="details"/>
    <w:basedOn w:val="Normal"/>
    <w:rsid w:val="00AE44DF"/>
    <w:pPr>
      <w:spacing w:before="100" w:beforeAutospacing="1" w:after="100" w:afterAutospacing="1"/>
    </w:pPr>
    <w:rPr>
      <w:rFonts w:ascii="Times" w:hAnsi="Times"/>
      <w:sz w:val="20"/>
      <w:szCs w:val="20"/>
    </w:rPr>
  </w:style>
  <w:style w:type="character" w:customStyle="1" w:styleId="jrnl">
    <w:name w:val="jrnl"/>
    <w:basedOn w:val="DefaultParagraphFont"/>
    <w:rsid w:val="00AE44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80"/>
  </w:style>
  <w:style w:type="paragraph" w:styleId="Heading1">
    <w:name w:val="heading 1"/>
    <w:basedOn w:val="Normal"/>
    <w:link w:val="Heading1Char"/>
    <w:uiPriority w:val="9"/>
    <w:qFormat/>
    <w:rsid w:val="00AE44D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A80"/>
    <w:rPr>
      <w:rFonts w:ascii="Lucida Grande" w:hAnsi="Lucida Grande" w:cs="Lucida Grande"/>
      <w:sz w:val="18"/>
      <w:szCs w:val="18"/>
    </w:rPr>
  </w:style>
  <w:style w:type="character" w:customStyle="1" w:styleId="sc1">
    <w:name w:val="sc1"/>
    <w:rsid w:val="00541A80"/>
    <w:rPr>
      <w:caps/>
      <w:sz w:val="20"/>
      <w:szCs w:val="20"/>
    </w:rPr>
  </w:style>
  <w:style w:type="character" w:customStyle="1" w:styleId="apple-converted-space">
    <w:name w:val="apple-converted-space"/>
    <w:rsid w:val="00541A80"/>
  </w:style>
  <w:style w:type="paragraph" w:customStyle="1" w:styleId="p">
    <w:name w:val="p"/>
    <w:basedOn w:val="Normal"/>
    <w:rsid w:val="00541A80"/>
    <w:pPr>
      <w:spacing w:before="100" w:beforeAutospacing="1" w:after="100" w:afterAutospacing="1"/>
    </w:pPr>
    <w:rPr>
      <w:rFonts w:ascii="Times New Roman" w:eastAsia="Times New Roman" w:hAnsi="Times New Roman" w:cs="Times New Roman"/>
      <w:lang w:eastAsia="zh-CN"/>
    </w:rPr>
  </w:style>
  <w:style w:type="character" w:styleId="Emphasis">
    <w:name w:val="Emphasis"/>
    <w:uiPriority w:val="20"/>
    <w:qFormat/>
    <w:rsid w:val="00541A80"/>
    <w:rPr>
      <w:i/>
      <w:iCs/>
    </w:rPr>
  </w:style>
  <w:style w:type="paragraph" w:styleId="Footer">
    <w:name w:val="footer"/>
    <w:basedOn w:val="Normal"/>
    <w:link w:val="FooterChar"/>
    <w:uiPriority w:val="99"/>
    <w:unhideWhenUsed/>
    <w:rsid w:val="00541A80"/>
    <w:pPr>
      <w:tabs>
        <w:tab w:val="center" w:pos="4320"/>
        <w:tab w:val="right" w:pos="8640"/>
      </w:tabs>
    </w:pPr>
  </w:style>
  <w:style w:type="character" w:customStyle="1" w:styleId="FooterChar">
    <w:name w:val="Footer Char"/>
    <w:basedOn w:val="DefaultParagraphFont"/>
    <w:link w:val="Footer"/>
    <w:uiPriority w:val="99"/>
    <w:rsid w:val="00541A80"/>
  </w:style>
  <w:style w:type="character" w:styleId="PageNumber">
    <w:name w:val="page number"/>
    <w:basedOn w:val="DefaultParagraphFont"/>
    <w:uiPriority w:val="99"/>
    <w:semiHidden/>
    <w:unhideWhenUsed/>
    <w:rsid w:val="00541A80"/>
  </w:style>
  <w:style w:type="character" w:styleId="Hyperlink">
    <w:name w:val="Hyperlink"/>
    <w:basedOn w:val="DefaultParagraphFont"/>
    <w:uiPriority w:val="99"/>
    <w:unhideWhenUsed/>
    <w:rsid w:val="00541A80"/>
    <w:rPr>
      <w:color w:val="0000FF" w:themeColor="hyperlink"/>
      <w:u w:val="single"/>
    </w:rPr>
  </w:style>
  <w:style w:type="character" w:styleId="CommentReference">
    <w:name w:val="annotation reference"/>
    <w:basedOn w:val="DefaultParagraphFont"/>
    <w:uiPriority w:val="99"/>
    <w:semiHidden/>
    <w:unhideWhenUsed/>
    <w:rsid w:val="00541A80"/>
    <w:rPr>
      <w:sz w:val="18"/>
      <w:szCs w:val="18"/>
    </w:rPr>
  </w:style>
  <w:style w:type="paragraph" w:styleId="CommentText">
    <w:name w:val="annotation text"/>
    <w:basedOn w:val="Normal"/>
    <w:link w:val="CommentTextChar"/>
    <w:uiPriority w:val="99"/>
    <w:semiHidden/>
    <w:unhideWhenUsed/>
    <w:rsid w:val="00541A80"/>
  </w:style>
  <w:style w:type="character" w:customStyle="1" w:styleId="CommentTextChar">
    <w:name w:val="Comment Text Char"/>
    <w:basedOn w:val="DefaultParagraphFont"/>
    <w:link w:val="CommentText"/>
    <w:uiPriority w:val="99"/>
    <w:semiHidden/>
    <w:rsid w:val="00541A80"/>
  </w:style>
  <w:style w:type="paragraph" w:styleId="CommentSubject">
    <w:name w:val="annotation subject"/>
    <w:basedOn w:val="CommentText"/>
    <w:next w:val="CommentText"/>
    <w:link w:val="CommentSubjectChar"/>
    <w:uiPriority w:val="99"/>
    <w:semiHidden/>
    <w:unhideWhenUsed/>
    <w:rsid w:val="00541A80"/>
    <w:rPr>
      <w:b/>
      <w:bCs/>
      <w:sz w:val="20"/>
      <w:szCs w:val="20"/>
    </w:rPr>
  </w:style>
  <w:style w:type="character" w:customStyle="1" w:styleId="CommentSubjectChar">
    <w:name w:val="Comment Subject Char"/>
    <w:basedOn w:val="CommentTextChar"/>
    <w:link w:val="CommentSubject"/>
    <w:uiPriority w:val="99"/>
    <w:semiHidden/>
    <w:rsid w:val="00541A80"/>
    <w:rPr>
      <w:b/>
      <w:bCs/>
      <w:sz w:val="20"/>
      <w:szCs w:val="20"/>
    </w:rPr>
  </w:style>
  <w:style w:type="paragraph" w:styleId="NormalWeb">
    <w:name w:val="Normal (Web)"/>
    <w:basedOn w:val="Normal"/>
    <w:uiPriority w:val="99"/>
    <w:semiHidden/>
    <w:unhideWhenUsed/>
    <w:rsid w:val="00541A80"/>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541A80"/>
  </w:style>
  <w:style w:type="character" w:customStyle="1" w:styleId="Heading1Char">
    <w:name w:val="Heading 1 Char"/>
    <w:basedOn w:val="DefaultParagraphFont"/>
    <w:link w:val="Heading1"/>
    <w:uiPriority w:val="9"/>
    <w:rsid w:val="00AE44DF"/>
    <w:rPr>
      <w:rFonts w:ascii="Times" w:hAnsi="Times"/>
      <w:b/>
      <w:bCs/>
      <w:kern w:val="36"/>
      <w:sz w:val="48"/>
      <w:szCs w:val="48"/>
    </w:rPr>
  </w:style>
  <w:style w:type="paragraph" w:styleId="Title">
    <w:name w:val="Title"/>
    <w:aliases w:val="title"/>
    <w:basedOn w:val="Normal"/>
    <w:link w:val="TitleChar"/>
    <w:uiPriority w:val="10"/>
    <w:qFormat/>
    <w:rsid w:val="00AE44DF"/>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AE44DF"/>
    <w:rPr>
      <w:rFonts w:ascii="Times" w:hAnsi="Times"/>
      <w:sz w:val="20"/>
      <w:szCs w:val="20"/>
    </w:rPr>
  </w:style>
  <w:style w:type="paragraph" w:customStyle="1" w:styleId="desc">
    <w:name w:val="desc"/>
    <w:basedOn w:val="Normal"/>
    <w:rsid w:val="00AE44DF"/>
    <w:pPr>
      <w:spacing w:before="100" w:beforeAutospacing="1" w:after="100" w:afterAutospacing="1"/>
    </w:pPr>
    <w:rPr>
      <w:rFonts w:ascii="Times" w:hAnsi="Times"/>
      <w:sz w:val="20"/>
      <w:szCs w:val="20"/>
    </w:rPr>
  </w:style>
  <w:style w:type="paragraph" w:customStyle="1" w:styleId="details">
    <w:name w:val="details"/>
    <w:basedOn w:val="Normal"/>
    <w:rsid w:val="00AE44DF"/>
    <w:pPr>
      <w:spacing w:before="100" w:beforeAutospacing="1" w:after="100" w:afterAutospacing="1"/>
    </w:pPr>
    <w:rPr>
      <w:rFonts w:ascii="Times" w:hAnsi="Times"/>
      <w:sz w:val="20"/>
      <w:szCs w:val="20"/>
    </w:rPr>
  </w:style>
  <w:style w:type="character" w:customStyle="1" w:styleId="jrnl">
    <w:name w:val="jrnl"/>
    <w:basedOn w:val="DefaultParagraphFont"/>
    <w:rsid w:val="00AE4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3344">
      <w:bodyDiv w:val="1"/>
      <w:marLeft w:val="0"/>
      <w:marRight w:val="0"/>
      <w:marTop w:val="0"/>
      <w:marBottom w:val="0"/>
      <w:divBdr>
        <w:top w:val="none" w:sz="0" w:space="0" w:color="auto"/>
        <w:left w:val="none" w:sz="0" w:space="0" w:color="auto"/>
        <w:bottom w:val="none" w:sz="0" w:space="0" w:color="auto"/>
        <w:right w:val="none" w:sz="0" w:space="0" w:color="auto"/>
      </w:divBdr>
    </w:div>
    <w:div w:id="895357365">
      <w:bodyDiv w:val="1"/>
      <w:marLeft w:val="0"/>
      <w:marRight w:val="0"/>
      <w:marTop w:val="0"/>
      <w:marBottom w:val="0"/>
      <w:divBdr>
        <w:top w:val="none" w:sz="0" w:space="0" w:color="auto"/>
        <w:left w:val="none" w:sz="0" w:space="0" w:color="auto"/>
        <w:bottom w:val="none" w:sz="0" w:space="0" w:color="auto"/>
        <w:right w:val="none" w:sz="0" w:space="0" w:color="auto"/>
      </w:divBdr>
      <w:divsChild>
        <w:div w:id="17170001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sadellab.org/cms/?page=trimmomatic" TargetMode="External"/><Relationship Id="rId8" Type="http://schemas.openxmlformats.org/officeDocument/2006/relationships/hyperlink" Target="http://www.novocraft.com" TargetMode="External"/><Relationship Id="rId9" Type="http://schemas.openxmlformats.org/officeDocument/2006/relationships/hyperlink" Target="https://www.broadinstitute.org/gat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2375</Words>
  <Characters>13542</Characters>
  <Application>Microsoft Macintosh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Sanford | Burnham</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Ronai</dc:creator>
  <cp:lastModifiedBy>Ronai</cp:lastModifiedBy>
  <cp:revision>2</cp:revision>
  <dcterms:created xsi:type="dcterms:W3CDTF">2015-12-19T07:39:00Z</dcterms:created>
  <dcterms:modified xsi:type="dcterms:W3CDTF">2015-12-19T07:39:00Z</dcterms:modified>
</cp:coreProperties>
</file>