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6F324" w14:textId="77777777" w:rsidR="000F003E" w:rsidRDefault="000F003E" w:rsidP="000F003E">
      <w:pPr>
        <w:spacing w:line="480" w:lineRule="auto"/>
        <w:jc w:val="both"/>
        <w:rPr>
          <w:rFonts w:ascii="Times" w:hAnsi="Times" w:cs="Arial"/>
          <w:b/>
          <w:bCs/>
        </w:rPr>
      </w:pPr>
      <w:r>
        <w:rPr>
          <w:rFonts w:ascii="Times" w:hAnsi="Times" w:cs="Arial"/>
          <w:b/>
          <w:bCs/>
        </w:rPr>
        <w:t>Supplemental Material</w:t>
      </w:r>
    </w:p>
    <w:p w14:paraId="5C8A90B5" w14:textId="77777777" w:rsidR="000F003E" w:rsidRPr="000F003E" w:rsidRDefault="000F003E" w:rsidP="000F003E">
      <w:pPr>
        <w:spacing w:line="480" w:lineRule="auto"/>
        <w:jc w:val="both"/>
        <w:rPr>
          <w:rFonts w:ascii="Times" w:hAnsi="Times" w:cs="Arial"/>
          <w:b/>
          <w:bCs/>
        </w:rPr>
      </w:pPr>
      <w:r w:rsidRPr="000F003E">
        <w:rPr>
          <w:rFonts w:ascii="Times" w:hAnsi="Times" w:cs="Arial"/>
          <w:b/>
          <w:bCs/>
        </w:rPr>
        <w:t>Elkin et al:</w:t>
      </w:r>
      <w:r>
        <w:rPr>
          <w:rFonts w:ascii="Times" w:hAnsi="Times" w:cs="Arial"/>
          <w:b/>
          <w:bCs/>
        </w:rPr>
        <w:t xml:space="preserve"> </w:t>
      </w:r>
      <w:r w:rsidRPr="000F003E">
        <w:rPr>
          <w:rFonts w:ascii="Times" w:hAnsi="Times"/>
          <w:b/>
        </w:rPr>
        <w:t>A systematic analysis of cancer cells reveals heterogeneous changes in their endocytic activities</w:t>
      </w:r>
    </w:p>
    <w:p w14:paraId="4ADE476B" w14:textId="77777777" w:rsidR="000F003E" w:rsidRDefault="000F003E" w:rsidP="000F003E">
      <w:pPr>
        <w:spacing w:line="480" w:lineRule="auto"/>
        <w:jc w:val="both"/>
        <w:rPr>
          <w:rFonts w:ascii="Times" w:hAnsi="Times" w:cs="Arial"/>
          <w:b/>
          <w:bCs/>
          <w:sz w:val="28"/>
          <w:szCs w:val="28"/>
        </w:rPr>
      </w:pPr>
    </w:p>
    <w:p w14:paraId="4C66C1A4" w14:textId="77777777" w:rsidR="000F003E" w:rsidRPr="004F569F" w:rsidRDefault="000F003E" w:rsidP="000F003E">
      <w:pPr>
        <w:spacing w:line="480" w:lineRule="auto"/>
        <w:jc w:val="both"/>
        <w:rPr>
          <w:rFonts w:ascii="Times" w:hAnsi="Times" w:cs="Arial"/>
          <w:b/>
          <w:bCs/>
          <w:sz w:val="28"/>
          <w:szCs w:val="28"/>
        </w:rPr>
      </w:pPr>
      <w:r w:rsidRPr="004F569F">
        <w:rPr>
          <w:rFonts w:ascii="Times" w:hAnsi="Times" w:cs="Arial"/>
          <w:b/>
          <w:bCs/>
          <w:sz w:val="28"/>
          <w:szCs w:val="28"/>
        </w:rPr>
        <w:t xml:space="preserve">Supplemental Figure Legends:  </w:t>
      </w:r>
    </w:p>
    <w:p w14:paraId="1D1F8E64" w14:textId="77777777" w:rsidR="000F003E" w:rsidRDefault="000F003E" w:rsidP="000F003E">
      <w:pPr>
        <w:spacing w:line="480" w:lineRule="auto"/>
        <w:jc w:val="both"/>
        <w:rPr>
          <w:rFonts w:ascii="Times" w:hAnsi="Times" w:cs="Arial"/>
        </w:rPr>
      </w:pPr>
      <w:r w:rsidRPr="00436C66">
        <w:rPr>
          <w:rFonts w:ascii="Times" w:hAnsi="Times" w:cs="Arial"/>
          <w:b/>
          <w:bCs/>
        </w:rPr>
        <w:t>Supp</w:t>
      </w:r>
      <w:r>
        <w:rPr>
          <w:rFonts w:ascii="Times" w:hAnsi="Times" w:cs="Arial"/>
          <w:b/>
          <w:bCs/>
        </w:rPr>
        <w:t>lemental Figure 1</w:t>
      </w:r>
      <w:r w:rsidRPr="00436C66">
        <w:rPr>
          <w:rFonts w:ascii="Times" w:hAnsi="Times" w:cs="Arial"/>
          <w:b/>
          <w:bCs/>
        </w:rPr>
        <w:t>: TfnR and CD8 internalization as measured by In-Cell ELISA.</w:t>
      </w:r>
      <w:r>
        <w:rPr>
          <w:rFonts w:ascii="Times" w:hAnsi="Times" w:cs="Arial"/>
        </w:rPr>
        <w:t xml:space="preserve"> </w:t>
      </w:r>
      <w:r w:rsidRPr="00436C66">
        <w:rPr>
          <w:rFonts w:ascii="Times" w:hAnsi="Times" w:cs="Arial"/>
          <w:b/>
          <w:bCs/>
        </w:rPr>
        <w:t>A</w:t>
      </w:r>
      <w:r w:rsidRPr="00436C66">
        <w:rPr>
          <w:rFonts w:ascii="Times" w:hAnsi="Times" w:cs="Arial"/>
        </w:rPr>
        <w:t>) Representative images of D65 and anti-CD8 treated ARPE-19 cells, incubated for different time points (0-20 min), after adding the respective secondary-HRP conjugated antibodies and developing and stopping reagents. Total surface bound D65 (total) and background (acid washed cells) was used to calculate the relative percentage of TfnR and CD8 internalization.</w:t>
      </w:r>
      <w:r>
        <w:rPr>
          <w:rFonts w:ascii="Times" w:hAnsi="Times" w:cs="Arial"/>
        </w:rPr>
        <w:t xml:space="preserve"> </w:t>
      </w:r>
      <w:r w:rsidRPr="00436C66">
        <w:rPr>
          <w:rFonts w:ascii="Times" w:hAnsi="Times" w:cs="Arial"/>
          <w:b/>
          <w:bCs/>
        </w:rPr>
        <w:t>B</w:t>
      </w:r>
      <w:r w:rsidRPr="00436C66">
        <w:rPr>
          <w:rFonts w:ascii="Times" w:hAnsi="Times" w:cs="Arial"/>
        </w:rPr>
        <w:t>) Continuous internalization of TfnR and CD8 in ARPE-19 cells. The rate of uptake of TfnR</w:t>
      </w:r>
      <w:r>
        <w:rPr>
          <w:rFonts w:ascii="Times" w:hAnsi="Times" w:cs="Arial"/>
        </w:rPr>
        <w:t xml:space="preserve"> </w:t>
      </w:r>
      <w:r w:rsidRPr="00436C66">
        <w:rPr>
          <w:rFonts w:ascii="Times" w:hAnsi="Times" w:cs="Arial"/>
        </w:rPr>
        <w:t>and CD8 was measured using the anti-transferrin receptor antibody HTR.D65 and a specific anti-CD8 antibody, respectively. Percentage of TfnR and CD8 uptake was calculated relative to the initial total surface bound ligand at 4</w:t>
      </w:r>
      <w:r w:rsidRPr="00436C66">
        <w:rPr>
          <w:rFonts w:ascii="Times" w:hAnsi="Times" w:cs="Arial"/>
          <w:vertAlign w:val="superscript"/>
        </w:rPr>
        <w:t>o</w:t>
      </w:r>
      <w:r w:rsidRPr="00436C66">
        <w:rPr>
          <w:rFonts w:ascii="Times" w:hAnsi="Times" w:cs="Arial"/>
        </w:rPr>
        <w:t>C (</w:t>
      </w:r>
      <w:r w:rsidRPr="00436C66">
        <w:rPr>
          <w:rFonts w:ascii="Times" w:hAnsi="Times" w:cs="Arial"/>
          <w:i/>
          <w:iCs/>
        </w:rPr>
        <w:t>n=3</w:t>
      </w:r>
      <w:r w:rsidRPr="00436C66">
        <w:rPr>
          <w:rFonts w:ascii="Times" w:hAnsi="Times" w:cs="Arial"/>
        </w:rPr>
        <w:t>). Data represents mean +/- SD.</w:t>
      </w:r>
    </w:p>
    <w:p w14:paraId="5EA655B0" w14:textId="77777777" w:rsidR="000F003E" w:rsidRDefault="000F003E" w:rsidP="000F003E">
      <w:pPr>
        <w:rPr>
          <w:rFonts w:ascii="Times" w:hAnsi="Times"/>
        </w:rPr>
      </w:pPr>
    </w:p>
    <w:p w14:paraId="478C7B16" w14:textId="42DD70D8" w:rsidR="00EA64AD" w:rsidRDefault="00EA64AD" w:rsidP="000F003E">
      <w:pPr>
        <w:spacing w:line="480" w:lineRule="auto"/>
        <w:jc w:val="both"/>
        <w:rPr>
          <w:rFonts w:ascii="Times" w:hAnsi="Times"/>
        </w:rPr>
      </w:pPr>
      <w:r>
        <w:rPr>
          <w:rFonts w:ascii="Times" w:hAnsi="Times"/>
          <w:b/>
        </w:rPr>
        <w:t xml:space="preserve">Supplemental Figure 2: Relationship between endocytic activity and total surface expression of receptors. </w:t>
      </w:r>
      <w:r>
        <w:rPr>
          <w:rFonts w:ascii="Times" w:hAnsi="Times"/>
        </w:rPr>
        <w:t xml:space="preserve">Linear regression </w:t>
      </w:r>
      <w:r w:rsidR="001955C4">
        <w:rPr>
          <w:rFonts w:ascii="Times" w:hAnsi="Times"/>
        </w:rPr>
        <w:t>analysis comparing e</w:t>
      </w:r>
      <w:r>
        <w:rPr>
          <w:rFonts w:ascii="Times" w:hAnsi="Times"/>
        </w:rPr>
        <w:t xml:space="preserve">ndocytic activity and total surface expression of </w:t>
      </w:r>
      <w:r w:rsidR="001955C4">
        <w:rPr>
          <w:rFonts w:ascii="Times" w:hAnsi="Times"/>
        </w:rPr>
        <w:t xml:space="preserve">markers used for </w:t>
      </w:r>
      <w:r>
        <w:rPr>
          <w:rFonts w:ascii="Times" w:hAnsi="Times"/>
        </w:rPr>
        <w:t xml:space="preserve">CME, CavME, CIE-CD44, and CIE-CD59. </w:t>
      </w:r>
      <w:r w:rsidR="001955C4">
        <w:rPr>
          <w:rFonts w:ascii="Times" w:hAnsi="Times"/>
        </w:rPr>
        <w:t>Correlation was assessed by r</w:t>
      </w:r>
      <w:r w:rsidR="00E95790">
        <w:rPr>
          <w:rFonts w:ascii="Times" w:hAnsi="Times"/>
          <w:vertAlign w:val="superscript"/>
        </w:rPr>
        <w:t>2</w:t>
      </w:r>
      <w:r w:rsidR="00E95790">
        <w:rPr>
          <w:rFonts w:ascii="Times" w:hAnsi="Times"/>
        </w:rPr>
        <w:t xml:space="preserve"> values, as indicated.</w:t>
      </w:r>
    </w:p>
    <w:p w14:paraId="7032FCF0" w14:textId="77777777" w:rsidR="006E1B47" w:rsidRDefault="006E1B47" w:rsidP="000F003E">
      <w:pPr>
        <w:spacing w:line="480" w:lineRule="auto"/>
        <w:jc w:val="both"/>
        <w:rPr>
          <w:rFonts w:ascii="Times" w:hAnsi="Times"/>
        </w:rPr>
      </w:pPr>
    </w:p>
    <w:p w14:paraId="6616BF71" w14:textId="443EDB92" w:rsidR="006E1B47" w:rsidRDefault="006E1B47" w:rsidP="006E1B47">
      <w:pPr>
        <w:spacing w:line="480" w:lineRule="auto"/>
        <w:jc w:val="both"/>
        <w:rPr>
          <w:rFonts w:ascii="Times" w:hAnsi="Times"/>
        </w:rPr>
      </w:pPr>
      <w:r w:rsidRPr="006E1B47">
        <w:rPr>
          <w:rFonts w:ascii="Times" w:hAnsi="Times"/>
          <w:b/>
        </w:rPr>
        <w:t xml:space="preserve">Supplemental Figure 3: </w:t>
      </w:r>
      <w:r w:rsidRPr="00685F5C">
        <w:rPr>
          <w:rFonts w:ascii="Times" w:hAnsi="Times"/>
          <w:b/>
        </w:rPr>
        <w:t xml:space="preserve">Relationship between </w:t>
      </w:r>
      <w:r>
        <w:rPr>
          <w:rFonts w:ascii="Times" w:hAnsi="Times"/>
          <w:b/>
        </w:rPr>
        <w:t xml:space="preserve">endocytic activity and genetic alteration associated with </w:t>
      </w:r>
      <w:r w:rsidRPr="00685F5C">
        <w:rPr>
          <w:rFonts w:ascii="Times" w:hAnsi="Times"/>
          <w:b/>
        </w:rPr>
        <w:t xml:space="preserve">cancer </w:t>
      </w:r>
      <w:r>
        <w:rPr>
          <w:rFonts w:ascii="Times" w:hAnsi="Times"/>
          <w:b/>
        </w:rPr>
        <w:t xml:space="preserve">cell oncogenic transformation. A) </w:t>
      </w:r>
      <w:r>
        <w:rPr>
          <w:rFonts w:ascii="Times" w:hAnsi="Times"/>
        </w:rPr>
        <w:t xml:space="preserve">Correlation between p53 mutation status and endocytic activity in all four </w:t>
      </w:r>
      <w:r w:rsidR="001955C4">
        <w:rPr>
          <w:rFonts w:ascii="Times" w:hAnsi="Times"/>
        </w:rPr>
        <w:t xml:space="preserve">endocytic </w:t>
      </w:r>
      <w:r>
        <w:rPr>
          <w:rFonts w:ascii="Times" w:hAnsi="Times"/>
        </w:rPr>
        <w:t xml:space="preserve">pathways. </w:t>
      </w:r>
      <w:r>
        <w:rPr>
          <w:rFonts w:ascii="Times" w:hAnsi="Times"/>
          <w:b/>
        </w:rPr>
        <w:t>B</w:t>
      </w:r>
      <w:r>
        <w:rPr>
          <w:rFonts w:ascii="Times" w:hAnsi="Times"/>
        </w:rPr>
        <w:t xml:space="preserve">) Correlation between </w:t>
      </w:r>
      <w:r>
        <w:rPr>
          <w:rFonts w:ascii="Times" w:hAnsi="Times"/>
        </w:rPr>
        <w:lastRenderedPageBreak/>
        <w:t>overexpression</w:t>
      </w:r>
      <w:r w:rsidR="008E2958">
        <w:rPr>
          <w:rFonts w:ascii="Times" w:hAnsi="Times"/>
        </w:rPr>
        <w:t xml:space="preserve"> (OE)</w:t>
      </w:r>
      <w:r>
        <w:rPr>
          <w:rFonts w:ascii="Times" w:hAnsi="Times"/>
        </w:rPr>
        <w:t xml:space="preserve"> status of MYC and endocytic activity in all four pathways. </w:t>
      </w:r>
      <w:r>
        <w:rPr>
          <w:rFonts w:ascii="Times New Roman" w:hAnsi="Times New Roman" w:cs="Times New Roman"/>
          <w:szCs w:val="20"/>
        </w:rPr>
        <w:t xml:space="preserve">Wilcoxon rank sum tests </w:t>
      </w:r>
      <w:r w:rsidRPr="0013324A">
        <w:rPr>
          <w:rFonts w:ascii="Times New Roman" w:hAnsi="Times New Roman" w:cs="Times New Roman"/>
          <w:szCs w:val="20"/>
        </w:rPr>
        <w:t>were used to assess statistical significance</w:t>
      </w:r>
      <w:r>
        <w:rPr>
          <w:rFonts w:ascii="Times New Roman" w:hAnsi="Times New Roman" w:cs="Times New Roman"/>
          <w:szCs w:val="20"/>
        </w:rPr>
        <w:t xml:space="preserve">, as indicated. </w:t>
      </w:r>
    </w:p>
    <w:p w14:paraId="735AE550" w14:textId="77777777" w:rsidR="00EA64AD" w:rsidRDefault="00EA64AD" w:rsidP="000F003E">
      <w:pPr>
        <w:spacing w:line="480" w:lineRule="auto"/>
        <w:jc w:val="both"/>
        <w:rPr>
          <w:rFonts w:ascii="Times" w:hAnsi="Times"/>
          <w:b/>
        </w:rPr>
      </w:pPr>
    </w:p>
    <w:p w14:paraId="4C3CEE80" w14:textId="6BC187E2" w:rsidR="00D45287" w:rsidRDefault="00D45287" w:rsidP="000F003E">
      <w:pPr>
        <w:spacing w:line="480" w:lineRule="auto"/>
        <w:jc w:val="both"/>
        <w:rPr>
          <w:rFonts w:ascii="Times" w:hAnsi="Times"/>
        </w:rPr>
      </w:pPr>
      <w:r>
        <w:rPr>
          <w:rFonts w:ascii="Times" w:hAnsi="Times"/>
          <w:b/>
        </w:rPr>
        <w:t>Supplemental Figure 4</w:t>
      </w:r>
      <w:r w:rsidR="000F003E">
        <w:rPr>
          <w:rFonts w:ascii="Times" w:hAnsi="Times"/>
          <w:b/>
        </w:rPr>
        <w:t xml:space="preserve">: Relationship between endocytic activity and proliferation. </w:t>
      </w:r>
      <w:r w:rsidR="000F003E">
        <w:rPr>
          <w:rFonts w:ascii="Times" w:hAnsi="Times"/>
        </w:rPr>
        <w:t>Spearman correlation of proliferation compared to endocytic activity of CME</w:t>
      </w:r>
      <w:r w:rsidR="005E3B52">
        <w:rPr>
          <w:rFonts w:ascii="Times" w:hAnsi="Times"/>
        </w:rPr>
        <w:t xml:space="preserve"> (not significant)</w:t>
      </w:r>
      <w:r w:rsidR="000F003E">
        <w:rPr>
          <w:rFonts w:ascii="Times" w:hAnsi="Times"/>
        </w:rPr>
        <w:t>, CavME</w:t>
      </w:r>
      <w:r w:rsidR="005E3B52">
        <w:rPr>
          <w:rFonts w:ascii="Times" w:hAnsi="Times"/>
        </w:rPr>
        <w:t xml:space="preserve"> (not significant)</w:t>
      </w:r>
      <w:r w:rsidR="000F003E">
        <w:rPr>
          <w:rFonts w:ascii="Times" w:hAnsi="Times"/>
        </w:rPr>
        <w:t>, CIE-CD44</w:t>
      </w:r>
      <w:r w:rsidR="005E3B52">
        <w:rPr>
          <w:rFonts w:ascii="Times" w:hAnsi="Times"/>
        </w:rPr>
        <w:t xml:space="preserve"> (p&lt;.05), CIE-CD59 (p</w:t>
      </w:r>
      <w:r w:rsidR="000F003E">
        <w:rPr>
          <w:rFonts w:ascii="Times" w:hAnsi="Times"/>
        </w:rPr>
        <w:t>=0.0</w:t>
      </w:r>
      <w:r w:rsidR="005E3B52">
        <w:rPr>
          <w:rFonts w:ascii="Times" w:hAnsi="Times"/>
        </w:rPr>
        <w:t>7)</w:t>
      </w:r>
      <w:r w:rsidR="000F003E">
        <w:rPr>
          <w:rFonts w:ascii="Times" w:hAnsi="Times"/>
        </w:rPr>
        <w:t xml:space="preserve">. </w:t>
      </w:r>
    </w:p>
    <w:p w14:paraId="54EC2270" w14:textId="77777777" w:rsidR="000F003E" w:rsidRDefault="000F003E" w:rsidP="000F003E">
      <w:pPr>
        <w:jc w:val="both"/>
        <w:rPr>
          <w:rFonts w:ascii="Times" w:hAnsi="Times"/>
        </w:rPr>
      </w:pPr>
    </w:p>
    <w:p w14:paraId="55DFEFAA" w14:textId="43736666" w:rsidR="008E2958" w:rsidRPr="008E2958" w:rsidRDefault="008E2958" w:rsidP="008E2958">
      <w:pPr>
        <w:spacing w:line="480" w:lineRule="auto"/>
        <w:jc w:val="both"/>
        <w:rPr>
          <w:rFonts w:ascii="Times" w:hAnsi="Times"/>
        </w:rPr>
      </w:pPr>
      <w:r>
        <w:rPr>
          <w:rFonts w:ascii="Times" w:hAnsi="Times"/>
          <w:b/>
        </w:rPr>
        <w:t xml:space="preserve">Supplemental Figure 5: Relationship between endocytic activity and cancer cell properties. </w:t>
      </w:r>
      <w:r w:rsidR="001955C4">
        <w:rPr>
          <w:rFonts w:ascii="Times" w:hAnsi="Times"/>
        </w:rPr>
        <w:t>Linear regression analysis</w:t>
      </w:r>
      <w:r w:rsidR="001955C4">
        <w:rPr>
          <w:rFonts w:ascii="Times" w:hAnsi="Times"/>
        </w:rPr>
        <w:t xml:space="preserve"> was used to compare endocytic activities with</w:t>
      </w:r>
      <w:r w:rsidR="001955C4">
        <w:rPr>
          <w:rFonts w:ascii="Times" w:hAnsi="Times"/>
          <w:b/>
        </w:rPr>
        <w:t xml:space="preserve"> </w:t>
      </w:r>
      <w:r>
        <w:rPr>
          <w:rFonts w:ascii="Times" w:hAnsi="Times"/>
          <w:b/>
        </w:rPr>
        <w:t xml:space="preserve">A) </w:t>
      </w:r>
      <w:r>
        <w:rPr>
          <w:rFonts w:ascii="Times" w:hAnsi="Times"/>
        </w:rPr>
        <w:t>3D migration</w:t>
      </w:r>
      <w:r w:rsidR="001955C4">
        <w:rPr>
          <w:rFonts w:ascii="Times" w:hAnsi="Times"/>
        </w:rPr>
        <w:t xml:space="preserve"> and</w:t>
      </w:r>
      <w:r>
        <w:rPr>
          <w:rFonts w:ascii="Times" w:hAnsi="Times"/>
        </w:rPr>
        <w:t xml:space="preserve"> </w:t>
      </w:r>
      <w:r w:rsidRPr="008E2958">
        <w:rPr>
          <w:rFonts w:ascii="Times" w:hAnsi="Times"/>
          <w:b/>
        </w:rPr>
        <w:t>B)</w:t>
      </w:r>
      <w:r>
        <w:rPr>
          <w:rFonts w:ascii="Times" w:hAnsi="Times"/>
        </w:rPr>
        <w:t xml:space="preserve"> growth in soft agar. </w:t>
      </w:r>
      <w:r w:rsidR="001955C4">
        <w:rPr>
          <w:rFonts w:ascii="Times" w:hAnsi="Times"/>
        </w:rPr>
        <w:t>Correlation was assessed by r</w:t>
      </w:r>
      <w:r w:rsidR="001955C4">
        <w:rPr>
          <w:rFonts w:ascii="Times" w:hAnsi="Times"/>
          <w:vertAlign w:val="superscript"/>
        </w:rPr>
        <w:t>2</w:t>
      </w:r>
      <w:r w:rsidR="001955C4">
        <w:rPr>
          <w:rFonts w:ascii="Times" w:hAnsi="Times"/>
        </w:rPr>
        <w:t xml:space="preserve"> values, as indicated.</w:t>
      </w:r>
      <w:bookmarkStart w:id="0" w:name="_GoBack"/>
      <w:bookmarkEnd w:id="0"/>
    </w:p>
    <w:p w14:paraId="67AD0A0A" w14:textId="77777777" w:rsidR="00771C4F" w:rsidRDefault="00771C4F" w:rsidP="008E2958">
      <w:pPr>
        <w:spacing w:line="480" w:lineRule="auto"/>
        <w:jc w:val="both"/>
        <w:rPr>
          <w:rFonts w:ascii="Times" w:hAnsi="Times"/>
        </w:rPr>
      </w:pPr>
    </w:p>
    <w:p w14:paraId="21782C20" w14:textId="131422FB" w:rsidR="006E55EF" w:rsidRDefault="00771C4F" w:rsidP="000F003E">
      <w:pPr>
        <w:spacing w:line="480" w:lineRule="auto"/>
        <w:jc w:val="both"/>
        <w:rPr>
          <w:rFonts w:ascii="Times" w:hAnsi="Times"/>
        </w:rPr>
      </w:pPr>
      <w:r>
        <w:rPr>
          <w:rFonts w:ascii="Times" w:hAnsi="Times"/>
          <w:b/>
        </w:rPr>
        <w:t>Supplemental Figure 6</w:t>
      </w:r>
      <w:r w:rsidR="000F003E">
        <w:rPr>
          <w:rFonts w:ascii="Times" w:hAnsi="Times"/>
          <w:b/>
        </w:rPr>
        <w:t xml:space="preserve">: Relationship between endocytic activity and adhesion. </w:t>
      </w:r>
      <w:r w:rsidR="000F003E" w:rsidRPr="008473C3">
        <w:rPr>
          <w:rFonts w:ascii="Times" w:hAnsi="Times"/>
          <w:b/>
        </w:rPr>
        <w:t>A</w:t>
      </w:r>
      <w:r w:rsidR="000F003E" w:rsidRPr="00C4182E">
        <w:rPr>
          <w:rFonts w:ascii="Times" w:hAnsi="Times"/>
          <w:b/>
        </w:rPr>
        <w:t>)</w:t>
      </w:r>
      <w:r w:rsidR="000F003E">
        <w:rPr>
          <w:rFonts w:ascii="Times" w:hAnsi="Times"/>
        </w:rPr>
        <w:t xml:space="preserve"> Cells were ordered by increasing adhesive properties on different substrates (See Methods). While there were significant differences in measure activities, these differences did not directly correlate with changes in endocytic activities. </w:t>
      </w:r>
      <w:r w:rsidR="000F003E" w:rsidRPr="00C4182E">
        <w:rPr>
          <w:rFonts w:ascii="Times" w:hAnsi="Times"/>
          <w:b/>
        </w:rPr>
        <w:t>B)</w:t>
      </w:r>
      <w:r w:rsidR="000F003E">
        <w:rPr>
          <w:rFonts w:ascii="Times" w:hAnsi="Times"/>
        </w:rPr>
        <w:t xml:space="preserve"> Adhesion on one substrate correlated with adhesion on the other substrates tested using a Pearson Correlation. Each histogram displays averages of three independent experiments each performed in triplicate. </w:t>
      </w:r>
    </w:p>
    <w:p w14:paraId="3A1B881B" w14:textId="77777777" w:rsidR="000F003E" w:rsidRDefault="000F003E" w:rsidP="000F003E">
      <w:pPr>
        <w:jc w:val="both"/>
        <w:rPr>
          <w:rFonts w:ascii="Times" w:hAnsi="Times" w:cs="Arial"/>
          <w:b/>
          <w:bCs/>
        </w:rPr>
      </w:pPr>
    </w:p>
    <w:p w14:paraId="4D4144E2" w14:textId="0CE00611" w:rsidR="000F003E" w:rsidRPr="00977404" w:rsidRDefault="00D45287" w:rsidP="000F003E">
      <w:pPr>
        <w:spacing w:line="480" w:lineRule="auto"/>
        <w:jc w:val="both"/>
        <w:rPr>
          <w:rFonts w:ascii="Times" w:hAnsi="Times" w:cs="Arial"/>
          <w:bCs/>
        </w:rPr>
      </w:pPr>
      <w:r>
        <w:rPr>
          <w:rFonts w:ascii="Times" w:hAnsi="Times" w:cs="Arial"/>
          <w:b/>
          <w:bCs/>
        </w:rPr>
        <w:t>Supplemental Figure 7</w:t>
      </w:r>
      <w:r w:rsidR="000F003E">
        <w:rPr>
          <w:rFonts w:ascii="Times" w:hAnsi="Times" w:cs="Arial"/>
          <w:b/>
          <w:bCs/>
        </w:rPr>
        <w:t xml:space="preserve">: Comparison of internalization and total surface binding of endocytic markers between cluster 1 and cluster 2.  </w:t>
      </w:r>
      <w:r w:rsidR="000F003E">
        <w:rPr>
          <w:rFonts w:ascii="Times" w:hAnsi="Times"/>
        </w:rPr>
        <w:t>Comparison of the extent of internalization after 5 min at 37°C and total surface binding, measured at 4°C, of</w:t>
      </w:r>
      <w:r w:rsidR="000F003E">
        <w:rPr>
          <w:rFonts w:ascii="Times" w:hAnsi="Times" w:cs="Arial"/>
          <w:b/>
          <w:bCs/>
        </w:rPr>
        <w:t xml:space="preserve"> A) </w:t>
      </w:r>
      <w:r w:rsidR="000F003E">
        <w:rPr>
          <w:rFonts w:ascii="Times" w:hAnsi="Times" w:cs="Arial"/>
          <w:bCs/>
        </w:rPr>
        <w:t xml:space="preserve">CIE-CD595 </w:t>
      </w:r>
      <w:r w:rsidR="000F003E" w:rsidRPr="00F7596D">
        <w:rPr>
          <w:rFonts w:ascii="Times" w:hAnsi="Times" w:cs="Arial"/>
          <w:b/>
          <w:bCs/>
        </w:rPr>
        <w:t>B)</w:t>
      </w:r>
      <w:r w:rsidR="000F003E">
        <w:rPr>
          <w:rFonts w:ascii="Times" w:hAnsi="Times" w:cs="Arial"/>
          <w:bCs/>
        </w:rPr>
        <w:t xml:space="preserve"> CavME</w:t>
      </w:r>
      <w:r w:rsidR="005E3B52">
        <w:rPr>
          <w:rFonts w:ascii="Times" w:hAnsi="Times" w:cs="Arial"/>
          <w:bCs/>
        </w:rPr>
        <w:t xml:space="preserve">, </w:t>
      </w:r>
      <w:r w:rsidR="000F003E">
        <w:rPr>
          <w:rFonts w:ascii="Times" w:hAnsi="Times" w:cs="Arial"/>
          <w:bCs/>
        </w:rPr>
        <w:t xml:space="preserve"> </w:t>
      </w:r>
      <w:r w:rsidR="000F003E" w:rsidRPr="00F7596D">
        <w:rPr>
          <w:rFonts w:ascii="Times" w:hAnsi="Times" w:cs="Arial"/>
          <w:b/>
          <w:bCs/>
        </w:rPr>
        <w:t>C)</w:t>
      </w:r>
      <w:r w:rsidR="000F003E">
        <w:rPr>
          <w:rFonts w:ascii="Times" w:hAnsi="Times" w:cs="Arial"/>
          <w:bCs/>
        </w:rPr>
        <w:t xml:space="preserve"> CME</w:t>
      </w:r>
      <w:r w:rsidR="000F003E">
        <w:rPr>
          <w:rFonts w:ascii="Times" w:hAnsi="Times"/>
        </w:rPr>
        <w:t>.</w:t>
      </w:r>
      <w:r w:rsidR="005E3B52">
        <w:rPr>
          <w:rFonts w:ascii="Times" w:hAnsi="Times"/>
        </w:rPr>
        <w:t xml:space="preserve">  Significance, as indicated, was tested using the </w:t>
      </w:r>
      <w:r w:rsidR="005E3B52">
        <w:rPr>
          <w:rFonts w:ascii="Times" w:hAnsi="Times" w:cs="Times"/>
          <w:lang w:eastAsia="ja-JP"/>
        </w:rPr>
        <w:t xml:space="preserve">Wilcoxon rank sum test. </w:t>
      </w:r>
    </w:p>
    <w:p w14:paraId="5BFC711C" w14:textId="77777777" w:rsidR="000F003E" w:rsidRDefault="000F003E" w:rsidP="000F003E"/>
    <w:p w14:paraId="7E8C254C" w14:textId="77777777" w:rsidR="008B175A" w:rsidRDefault="008B175A"/>
    <w:sectPr w:rsidR="008B175A" w:rsidSect="00EA64AD">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88D97" w14:textId="77777777" w:rsidR="008E2958" w:rsidRDefault="008E2958">
      <w:r>
        <w:separator/>
      </w:r>
    </w:p>
  </w:endnote>
  <w:endnote w:type="continuationSeparator" w:id="0">
    <w:p w14:paraId="21161543" w14:textId="77777777" w:rsidR="008E2958" w:rsidRDefault="008E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3C45" w14:textId="77777777" w:rsidR="008E2958" w:rsidRDefault="008E2958" w:rsidP="00EA6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420F318" w14:textId="77777777" w:rsidR="008E2958" w:rsidRDefault="008E2958" w:rsidP="00EA6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375B" w14:textId="77777777" w:rsidR="008E2958" w:rsidRDefault="008E2958" w:rsidP="00EA6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5C4">
      <w:rPr>
        <w:rStyle w:val="PageNumber"/>
        <w:noProof/>
      </w:rPr>
      <w:t>1</w:t>
    </w:r>
    <w:r>
      <w:rPr>
        <w:rStyle w:val="PageNumber"/>
      </w:rPr>
      <w:fldChar w:fldCharType="end"/>
    </w:r>
  </w:p>
  <w:p w14:paraId="539261B8" w14:textId="77777777" w:rsidR="008E2958" w:rsidRDefault="008E2958" w:rsidP="00EA64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FC48D" w14:textId="77777777" w:rsidR="008E2958" w:rsidRDefault="008E2958">
      <w:r>
        <w:separator/>
      </w:r>
    </w:p>
  </w:footnote>
  <w:footnote w:type="continuationSeparator" w:id="0">
    <w:p w14:paraId="20D631A8" w14:textId="77777777" w:rsidR="008E2958" w:rsidRDefault="008E2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3E"/>
    <w:rsid w:val="000F003E"/>
    <w:rsid w:val="001955C4"/>
    <w:rsid w:val="0032236D"/>
    <w:rsid w:val="0054136E"/>
    <w:rsid w:val="005E3B52"/>
    <w:rsid w:val="006E1B47"/>
    <w:rsid w:val="006E55EF"/>
    <w:rsid w:val="00771C4F"/>
    <w:rsid w:val="00774D0C"/>
    <w:rsid w:val="007B69E1"/>
    <w:rsid w:val="00891D68"/>
    <w:rsid w:val="008A1AD1"/>
    <w:rsid w:val="008B175A"/>
    <w:rsid w:val="008D73C3"/>
    <w:rsid w:val="008E2958"/>
    <w:rsid w:val="00A6101B"/>
    <w:rsid w:val="00A923FE"/>
    <w:rsid w:val="00BB6641"/>
    <w:rsid w:val="00D13E76"/>
    <w:rsid w:val="00D45287"/>
    <w:rsid w:val="00D727EB"/>
    <w:rsid w:val="00E6053E"/>
    <w:rsid w:val="00E95790"/>
    <w:rsid w:val="00EA64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C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3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grant">
    <w:name w:val="NIHgrant"/>
    <w:basedOn w:val="Normal"/>
    <w:qFormat/>
    <w:rsid w:val="00BB6641"/>
    <w:rPr>
      <w:rFonts w:ascii="Arial" w:hAnsi="Arial"/>
      <w:sz w:val="22"/>
      <w:lang w:eastAsia="ja-JP"/>
    </w:rPr>
  </w:style>
  <w:style w:type="paragraph" w:styleId="Footer">
    <w:name w:val="footer"/>
    <w:basedOn w:val="Normal"/>
    <w:link w:val="FooterChar"/>
    <w:uiPriority w:val="99"/>
    <w:unhideWhenUsed/>
    <w:rsid w:val="000F003E"/>
    <w:pPr>
      <w:tabs>
        <w:tab w:val="center" w:pos="4320"/>
        <w:tab w:val="right" w:pos="8640"/>
      </w:tabs>
    </w:pPr>
  </w:style>
  <w:style w:type="character" w:customStyle="1" w:styleId="FooterChar">
    <w:name w:val="Footer Char"/>
    <w:basedOn w:val="DefaultParagraphFont"/>
    <w:link w:val="Footer"/>
    <w:uiPriority w:val="99"/>
    <w:rsid w:val="000F003E"/>
    <w:rPr>
      <w:lang w:eastAsia="en-US"/>
    </w:rPr>
  </w:style>
  <w:style w:type="character" w:styleId="PageNumber">
    <w:name w:val="page number"/>
    <w:basedOn w:val="DefaultParagraphFont"/>
    <w:uiPriority w:val="99"/>
    <w:semiHidden/>
    <w:unhideWhenUsed/>
    <w:rsid w:val="000F00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3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grant">
    <w:name w:val="NIHgrant"/>
    <w:basedOn w:val="Normal"/>
    <w:qFormat/>
    <w:rsid w:val="00BB6641"/>
    <w:rPr>
      <w:rFonts w:ascii="Arial" w:hAnsi="Arial"/>
      <w:sz w:val="22"/>
      <w:lang w:eastAsia="ja-JP"/>
    </w:rPr>
  </w:style>
  <w:style w:type="paragraph" w:styleId="Footer">
    <w:name w:val="footer"/>
    <w:basedOn w:val="Normal"/>
    <w:link w:val="FooterChar"/>
    <w:uiPriority w:val="99"/>
    <w:unhideWhenUsed/>
    <w:rsid w:val="000F003E"/>
    <w:pPr>
      <w:tabs>
        <w:tab w:val="center" w:pos="4320"/>
        <w:tab w:val="right" w:pos="8640"/>
      </w:tabs>
    </w:pPr>
  </w:style>
  <w:style w:type="character" w:customStyle="1" w:styleId="FooterChar">
    <w:name w:val="Footer Char"/>
    <w:basedOn w:val="DefaultParagraphFont"/>
    <w:link w:val="Footer"/>
    <w:uiPriority w:val="99"/>
    <w:rsid w:val="000F003E"/>
    <w:rPr>
      <w:lang w:eastAsia="en-US"/>
    </w:rPr>
  </w:style>
  <w:style w:type="character" w:styleId="PageNumber">
    <w:name w:val="page number"/>
    <w:basedOn w:val="DefaultParagraphFont"/>
    <w:uiPriority w:val="99"/>
    <w:semiHidden/>
    <w:unhideWhenUsed/>
    <w:rsid w:val="000F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460</Words>
  <Characters>2623</Characters>
  <Application>Microsoft Macintosh Word</Application>
  <DocSecurity>0</DocSecurity>
  <Lines>21</Lines>
  <Paragraphs>6</Paragraphs>
  <ScaleCrop>false</ScaleCrop>
  <Company>The Scripps Research Institute</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Schmid</dc:creator>
  <cp:keywords/>
  <dc:description/>
  <cp:lastModifiedBy>Sandra Schmid</cp:lastModifiedBy>
  <cp:revision>4</cp:revision>
  <dcterms:created xsi:type="dcterms:W3CDTF">2015-08-20T16:37:00Z</dcterms:created>
  <dcterms:modified xsi:type="dcterms:W3CDTF">2015-08-21T17:05:00Z</dcterms:modified>
</cp:coreProperties>
</file>