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2B" w:rsidRDefault="00601A2B" w:rsidP="00601A2B">
      <w:pPr>
        <w:spacing w:line="480" w:lineRule="auto"/>
        <w:rPr>
          <w:b/>
          <w:lang w:val="en-US"/>
        </w:rPr>
      </w:pPr>
      <w:r>
        <w:rPr>
          <w:b/>
          <w:lang w:val="en-US"/>
        </w:rPr>
        <w:t>Supplementary Methods</w:t>
      </w:r>
    </w:p>
    <w:p w:rsidR="00601A2B" w:rsidRPr="00927A8C" w:rsidRDefault="00601A2B" w:rsidP="00601A2B">
      <w:pPr>
        <w:spacing w:line="480" w:lineRule="auto"/>
        <w:rPr>
          <w:lang w:val="en-US"/>
        </w:rPr>
      </w:pPr>
    </w:p>
    <w:p w:rsidR="00601A2B" w:rsidRPr="00927A8C" w:rsidRDefault="00601A2B" w:rsidP="00601A2B">
      <w:pPr>
        <w:spacing w:line="480" w:lineRule="auto"/>
        <w:rPr>
          <w:b/>
          <w:lang w:val="en-US"/>
        </w:rPr>
      </w:pPr>
      <w:r w:rsidRPr="00927A8C">
        <w:rPr>
          <w:b/>
          <w:lang w:val="en-US"/>
        </w:rPr>
        <w:t>Immunofluorescence</w:t>
      </w:r>
    </w:p>
    <w:p w:rsidR="00601A2B" w:rsidRDefault="00601A2B" w:rsidP="00601A2B">
      <w:pPr>
        <w:spacing w:line="480" w:lineRule="auto"/>
        <w:rPr>
          <w:lang w:val="en-US"/>
        </w:rPr>
      </w:pPr>
      <w:r w:rsidRPr="00927A8C">
        <w:rPr>
          <w:lang w:val="en-US"/>
        </w:rPr>
        <w:t xml:space="preserve">A standard immunofluorescence protocol for cells grown on ethanol-sterilized glass coverslips was used. Cells were fixed with 4% PFA for 10 </w:t>
      </w:r>
      <w:r>
        <w:rPr>
          <w:lang w:val="en-US"/>
        </w:rPr>
        <w:t>minutes</w:t>
      </w:r>
      <w:r w:rsidRPr="00927A8C">
        <w:rPr>
          <w:lang w:val="en-US"/>
        </w:rPr>
        <w:t xml:space="preserve">. PFA autofluorescence was quenched with 50 mM NH4Cl/PBS for 5 </w:t>
      </w:r>
      <w:r>
        <w:rPr>
          <w:lang w:val="en-US"/>
        </w:rPr>
        <w:t>minutes</w:t>
      </w:r>
      <w:r w:rsidRPr="00927A8C">
        <w:rPr>
          <w:lang w:val="en-US"/>
        </w:rPr>
        <w:t xml:space="preserve">, and cells were permeabilized with 0.5% Triton X-100 for 5 </w:t>
      </w:r>
      <w:r>
        <w:rPr>
          <w:lang w:val="en-US"/>
        </w:rPr>
        <w:t>minutes</w:t>
      </w:r>
      <w:r w:rsidRPr="00927A8C">
        <w:rPr>
          <w:lang w:val="en-US"/>
        </w:rPr>
        <w:t>. Blocking was carried out for 1</w:t>
      </w:r>
      <w:r>
        <w:rPr>
          <w:lang w:val="en-US"/>
        </w:rPr>
        <w:t xml:space="preserve"> hour </w:t>
      </w:r>
      <w:r w:rsidRPr="00927A8C">
        <w:rPr>
          <w:lang w:val="en-US"/>
        </w:rPr>
        <w:t>with PBS containing 3% BSA. Coverslips were then incubated in a humid atmosphere for 1</w:t>
      </w:r>
      <w:r>
        <w:rPr>
          <w:lang w:val="en-US"/>
        </w:rPr>
        <w:t xml:space="preserve"> hour </w:t>
      </w:r>
      <w:r w:rsidRPr="00927A8C">
        <w:rPr>
          <w:lang w:val="en-US"/>
        </w:rPr>
        <w:t>at room temperature, or 24</w:t>
      </w:r>
      <w:r>
        <w:rPr>
          <w:lang w:val="en-US"/>
        </w:rPr>
        <w:t xml:space="preserve"> hours </w:t>
      </w:r>
      <w:r w:rsidRPr="00927A8C">
        <w:rPr>
          <w:lang w:val="en-US"/>
        </w:rPr>
        <w:t xml:space="preserve">at 4°C, with a primary antibody, followed by extensive washing and a 1-h incubation with the secondary antibody in the dark (for the complete list of antibodies used and their sources, see </w:t>
      </w:r>
      <w:r>
        <w:rPr>
          <w:lang w:val="en-US"/>
        </w:rPr>
        <w:t xml:space="preserve">Supplementary </w:t>
      </w:r>
      <w:r w:rsidRPr="00927A8C">
        <w:rPr>
          <w:lang w:val="en-US"/>
        </w:rPr>
        <w:t xml:space="preserve">Table </w:t>
      </w:r>
      <w:r>
        <w:rPr>
          <w:lang w:val="en-US"/>
        </w:rPr>
        <w:t>S</w:t>
      </w:r>
      <w:r w:rsidRPr="00927A8C">
        <w:rPr>
          <w:lang w:val="en-US"/>
        </w:rPr>
        <w:t xml:space="preserve">3). Coverslips were mounted with DAPI-Fluoromount-G, and fluorescence images were captured with a Leica TCS-SP2 confocal microscope. </w:t>
      </w:r>
      <w:r w:rsidRPr="00FD19EF">
        <w:rPr>
          <w:lang w:val="en-US"/>
        </w:rPr>
        <w:t>The orientation distribution of extracellular fibronectin fibers was estimated from immunofluorescence images using a filtering approach as follows. A bank of filament-like filters was constructed to reflect variations in rotation, scales, as well as curvature. In total</w:t>
      </w:r>
      <w:r>
        <w:rPr>
          <w:lang w:val="en-US"/>
        </w:rPr>
        <w:t>,</w:t>
      </w:r>
      <w:r w:rsidRPr="00FD19EF">
        <w:rPr>
          <w:lang w:val="en-US"/>
        </w:rPr>
        <w:t xml:space="preserve"> 448 filters were used, covering 32 rotations, 7 scales, and 2 curvatures. Each filter was then digitally cross-correlated with the input image data and the angle of rotation corresponding to the largest response is chosen as the most likely fiber orientation for each pixels. Finally, the histograms shown in plot 1B only include pixels for which the cross correlation value exceeded the value of 0.6. The detailed protocol is currently submitted for publication</w:t>
      </w:r>
      <w:r>
        <w:rPr>
          <w:lang w:val="en-US"/>
        </w:rPr>
        <w:t>,</w:t>
      </w:r>
      <w:r w:rsidRPr="00FD19EF">
        <w:rPr>
          <w:lang w:val="en-US"/>
        </w:rPr>
        <w:t xml:space="preserve"> and the computer code available at</w:t>
      </w:r>
      <w:r>
        <w:rPr>
          <w:lang w:val="en-US"/>
        </w:rPr>
        <w:t xml:space="preserve"> </w:t>
      </w:r>
      <w:r w:rsidRPr="00FD19EF">
        <w:rPr>
          <w:lang w:val="en-US"/>
        </w:rPr>
        <w:t>https://www.andrew.cmu.edu/user/gustavor/software.html.</w:t>
      </w:r>
    </w:p>
    <w:p w:rsidR="00601A2B" w:rsidRPr="00927A8C" w:rsidRDefault="00601A2B" w:rsidP="00601A2B">
      <w:pPr>
        <w:spacing w:line="480" w:lineRule="auto"/>
        <w:rPr>
          <w:b/>
          <w:lang w:val="en-US"/>
        </w:rPr>
      </w:pPr>
    </w:p>
    <w:p w:rsidR="00601A2B" w:rsidRPr="00927A8C" w:rsidRDefault="00601A2B" w:rsidP="00601A2B">
      <w:pPr>
        <w:spacing w:line="480" w:lineRule="auto"/>
        <w:rPr>
          <w:b/>
          <w:lang w:val="en-US"/>
        </w:rPr>
      </w:pPr>
      <w:r w:rsidRPr="00927A8C">
        <w:rPr>
          <w:b/>
          <w:lang w:val="en-US"/>
        </w:rPr>
        <w:t>Immunohistochemistry</w:t>
      </w:r>
    </w:p>
    <w:p w:rsidR="00601A2B" w:rsidRPr="00927A8C" w:rsidRDefault="00601A2B" w:rsidP="00601A2B">
      <w:pPr>
        <w:spacing w:line="480" w:lineRule="auto"/>
        <w:rPr>
          <w:lang w:val="en-US"/>
        </w:rPr>
      </w:pPr>
      <w:r w:rsidRPr="00927A8C">
        <w:rPr>
          <w:lang w:val="en-US"/>
        </w:rPr>
        <w:lastRenderedPageBreak/>
        <w:t xml:space="preserve">Harvested tissue samples were fixed in formalin and embedded in paraffin. Sections of 4 μm were obtained with a microtome and then subsequently dewaxed and rehydrated. Antigens were retrieved by boiling the samples in Tris/EDTA (50 mM Tris/HCl, 1 mM EDTA, and 10 mM NaCl, pH 9.0) for 15 </w:t>
      </w:r>
      <w:r>
        <w:rPr>
          <w:lang w:val="en-US"/>
        </w:rPr>
        <w:t>minutes</w:t>
      </w:r>
      <w:r w:rsidRPr="00927A8C">
        <w:rPr>
          <w:lang w:val="en-US"/>
        </w:rPr>
        <w:t xml:space="preserve">. Endogenous peroxidase activity was quenched for 15 </w:t>
      </w:r>
      <w:r>
        <w:rPr>
          <w:lang w:val="en-US"/>
        </w:rPr>
        <w:t>minutes</w:t>
      </w:r>
      <w:r w:rsidRPr="00927A8C">
        <w:rPr>
          <w:lang w:val="en-US"/>
        </w:rPr>
        <w:t xml:space="preserve"> with 4% hydrogen peroxide in PBS containing 0.1% sodium azide. After several rinses with PBS, sections were incubated with PBS containing 1% BSA to block non-specific binding and then washed with PBS. Sections were incubated with the indicated antibodies (10 μg/ml of purified anti-Snail1 monoclonal antibody EC3 or 1/800 anti-</w:t>
      </w:r>
      <w:r>
        <w:rPr>
          <w:lang w:val="en-US"/>
        </w:rPr>
        <w:t>α</w:t>
      </w:r>
      <w:r w:rsidRPr="00927A8C">
        <w:rPr>
          <w:lang w:val="en-US"/>
        </w:rPr>
        <w:t>SMA antibody from SIGMA) overnight at 4°C. After several rinses with PBS, bound antibody was detected using anti-mouse or anti-rabbit Envision (Envision System Peroxidase; DAKO). Sections were counterstained with haematoxylin and mounted for microscopy analysis. Some paraffin sections were stained with a Masson´s trichrome reagent kit following the manufacturer´s instructions.</w:t>
      </w:r>
    </w:p>
    <w:p w:rsidR="00601A2B" w:rsidRPr="00927A8C" w:rsidRDefault="00601A2B" w:rsidP="00601A2B">
      <w:pPr>
        <w:spacing w:line="480" w:lineRule="auto"/>
        <w:rPr>
          <w:lang w:val="en-US"/>
        </w:rPr>
      </w:pPr>
    </w:p>
    <w:p w:rsidR="00601A2B" w:rsidRPr="00927A8C" w:rsidRDefault="00601A2B" w:rsidP="00601A2B">
      <w:pPr>
        <w:spacing w:line="480" w:lineRule="auto"/>
        <w:rPr>
          <w:b/>
          <w:lang w:val="en-US"/>
        </w:rPr>
      </w:pPr>
      <w:r w:rsidRPr="00927A8C">
        <w:rPr>
          <w:b/>
          <w:lang w:val="en-US"/>
        </w:rPr>
        <w:t xml:space="preserve">RhoA-GTP </w:t>
      </w:r>
      <w:r>
        <w:rPr>
          <w:b/>
          <w:lang w:val="en-US"/>
        </w:rPr>
        <w:t>P</w:t>
      </w:r>
      <w:r w:rsidRPr="00927A8C">
        <w:rPr>
          <w:b/>
          <w:lang w:val="en-US"/>
        </w:rPr>
        <w:t>ull-</w:t>
      </w:r>
      <w:r>
        <w:rPr>
          <w:b/>
          <w:lang w:val="en-US"/>
        </w:rPr>
        <w:t>D</w:t>
      </w:r>
      <w:r w:rsidRPr="00927A8C">
        <w:rPr>
          <w:b/>
          <w:lang w:val="en-US"/>
        </w:rPr>
        <w:t xml:space="preserve">own </w:t>
      </w:r>
      <w:r>
        <w:rPr>
          <w:b/>
          <w:lang w:val="en-US"/>
        </w:rPr>
        <w:t>A</w:t>
      </w:r>
      <w:r w:rsidRPr="00927A8C">
        <w:rPr>
          <w:b/>
          <w:lang w:val="en-US"/>
        </w:rPr>
        <w:t>ssay</w:t>
      </w:r>
    </w:p>
    <w:p w:rsidR="00601A2B" w:rsidRPr="00927A8C" w:rsidRDefault="00601A2B" w:rsidP="00601A2B">
      <w:pPr>
        <w:spacing w:line="480" w:lineRule="auto"/>
        <w:rPr>
          <w:lang w:val="en-US"/>
        </w:rPr>
      </w:pPr>
      <w:r w:rsidRPr="00927A8C">
        <w:rPr>
          <w:lang w:val="en-US"/>
        </w:rPr>
        <w:t xml:space="preserve">RhoA </w:t>
      </w:r>
      <w:r>
        <w:rPr>
          <w:lang w:val="en-US"/>
        </w:rPr>
        <w:t>a</w:t>
      </w:r>
      <w:r w:rsidRPr="00927A8C">
        <w:rPr>
          <w:lang w:val="en-US"/>
        </w:rPr>
        <w:t xml:space="preserve">ctivation was quantified in cell extracts by capturing RhoA-GTP on a bead support that contained a purified RhoA-GTP–specific interacting protein (rhotekin fused to GST). To purify GST-rhotekin, LB broth supplemented with 100 μg/ml ampicillin was inoculated with a single colony of </w:t>
      </w:r>
      <w:r w:rsidRPr="004515A0">
        <w:rPr>
          <w:i/>
          <w:lang w:val="en-US"/>
        </w:rPr>
        <w:t>E. coli</w:t>
      </w:r>
      <w:r w:rsidRPr="00927A8C">
        <w:rPr>
          <w:lang w:val="en-US"/>
        </w:rPr>
        <w:t xml:space="preserve"> containing the GST-rhotekin construct and incubated overnight at 37ºC with shaking. The overnight culture was diluted 1:10 in LB broth containing 100 μg/ml ampicillin and grown to an OD600 of 0.6. Isopropyl-β-d-thiogalactopyranoside (IPTG) was added to a final concentration of 0.1 mM to induce protein expression. After 2 h</w:t>
      </w:r>
      <w:r>
        <w:rPr>
          <w:lang w:val="en-US"/>
        </w:rPr>
        <w:t>ours</w:t>
      </w:r>
      <w:r w:rsidRPr="00927A8C">
        <w:rPr>
          <w:lang w:val="en-US"/>
        </w:rPr>
        <w:t xml:space="preserve"> of incubation, the culture was centrifuged for 10 </w:t>
      </w:r>
      <w:r>
        <w:rPr>
          <w:lang w:val="en-US"/>
        </w:rPr>
        <w:t>minutes</w:t>
      </w:r>
      <w:r w:rsidRPr="00927A8C">
        <w:rPr>
          <w:lang w:val="en-US"/>
        </w:rPr>
        <w:t>, and the bacteria pellet was resuspended in PBS and sonicated 7</w:t>
      </w:r>
      <w:r w:rsidRPr="00927A8C">
        <w:rPr>
          <w:lang w:val="en-US"/>
        </w:rPr>
        <w:sym w:font="Symbol" w:char="F0B4"/>
      </w:r>
      <w:r w:rsidRPr="00927A8C">
        <w:rPr>
          <w:lang w:val="en-US"/>
        </w:rPr>
        <w:t xml:space="preserve"> on ice. TX-100 was added to a final concentration of 1%, and the slurry was incubated 30 </w:t>
      </w:r>
      <w:r>
        <w:rPr>
          <w:lang w:val="en-US"/>
        </w:rPr>
        <w:t>minutes</w:t>
      </w:r>
      <w:r w:rsidRPr="00927A8C">
        <w:rPr>
          <w:lang w:val="en-US"/>
        </w:rPr>
        <w:t xml:space="preserve"> </w:t>
      </w:r>
      <w:r w:rsidRPr="00927A8C">
        <w:rPr>
          <w:lang w:val="en-US"/>
        </w:rPr>
        <w:lastRenderedPageBreak/>
        <w:t xml:space="preserve">at 4ºC. The lysed cells were then clarified by centrifugation at 10 000 rpm at 4ºC for 10 </w:t>
      </w:r>
      <w:r>
        <w:rPr>
          <w:lang w:val="en-US"/>
        </w:rPr>
        <w:t>minutes</w:t>
      </w:r>
      <w:r w:rsidRPr="00927A8C">
        <w:rPr>
          <w:lang w:val="en-US"/>
        </w:rPr>
        <w:t>. Glutathione-sepharose beads were added to the supernatant, and the mixture was incubated at 4ºC for 1</w:t>
      </w:r>
      <w:r>
        <w:rPr>
          <w:lang w:val="en-US"/>
        </w:rPr>
        <w:t xml:space="preserve"> hour.</w:t>
      </w:r>
      <w:r w:rsidRPr="00927A8C">
        <w:rPr>
          <w:lang w:val="en-US"/>
        </w:rPr>
        <w:t xml:space="preserve"> Beads were washed at least three times with cold PBS and then resuspended in PBS with 10% glycerol. The purity of the fusion protein was assessed by SDS-PAGE.</w:t>
      </w:r>
    </w:p>
    <w:p w:rsidR="00601A2B" w:rsidRPr="00927A8C" w:rsidRDefault="00601A2B" w:rsidP="00601A2B">
      <w:pPr>
        <w:spacing w:line="480" w:lineRule="auto"/>
        <w:rPr>
          <w:lang w:val="en-US"/>
        </w:rPr>
      </w:pPr>
      <w:r w:rsidRPr="00927A8C">
        <w:rPr>
          <w:lang w:val="en-US"/>
        </w:rPr>
        <w:t xml:space="preserve">For the GST pull-down assay, cells were starved 24 h, treated for five </w:t>
      </w:r>
      <w:r>
        <w:rPr>
          <w:lang w:val="en-US"/>
        </w:rPr>
        <w:t>minutes</w:t>
      </w:r>
      <w:r w:rsidRPr="00927A8C">
        <w:rPr>
          <w:lang w:val="en-US"/>
        </w:rPr>
        <w:t xml:space="preserve"> with TGFβ1 at a final concentration of 5ng/ml, and then washed with cold PBS. Cold lysis buffer (50 mM Tris-HCl, pH 7.5, 1% Triton X-100, 0.5% sodium deoxycholate, 0.1% SDS, 500 mM NaCl, 10 mM MgCl</w:t>
      </w:r>
      <w:r w:rsidRPr="00927A8C">
        <w:rPr>
          <w:vertAlign w:val="subscript"/>
          <w:lang w:val="en-US"/>
        </w:rPr>
        <w:t>2</w:t>
      </w:r>
      <w:r w:rsidRPr="00927A8C">
        <w:rPr>
          <w:lang w:val="en-US"/>
        </w:rPr>
        <w:t xml:space="preserve">, 10 μg/ml aprotinin, and 1 mM PMSF) was added, and the cells were rapidly scraped off the plates. Lysates were transferred to Eppendorf tubes, syringed five times, and centrifuged at 13 000 rpm for 10 </w:t>
      </w:r>
      <w:r>
        <w:rPr>
          <w:lang w:val="en-US"/>
        </w:rPr>
        <w:t>minutes</w:t>
      </w:r>
      <w:r w:rsidRPr="00927A8C">
        <w:rPr>
          <w:lang w:val="en-US"/>
        </w:rPr>
        <w:t xml:space="preserve"> at 4°C. The protein amount in the supernatant was quantified, and 25 µg of lysate was separated for analysis as input, while 1 mg was incubated with 20 μg of GST-rhotekin for 1</w:t>
      </w:r>
      <w:r>
        <w:rPr>
          <w:lang w:val="en-US"/>
        </w:rPr>
        <w:t xml:space="preserve"> hour </w:t>
      </w:r>
      <w:r w:rsidRPr="00927A8C">
        <w:rPr>
          <w:lang w:val="en-US"/>
        </w:rPr>
        <w:t>at 4ºC. Beads were then washed 5</w:t>
      </w:r>
      <w:r w:rsidRPr="00927A8C">
        <w:rPr>
          <w:lang w:val="en-US"/>
        </w:rPr>
        <w:sym w:font="Symbol" w:char="F0B4"/>
      </w:r>
      <w:r w:rsidRPr="00927A8C">
        <w:rPr>
          <w:lang w:val="en-US"/>
        </w:rPr>
        <w:t xml:space="preserve"> with 1 ml cold washing buffer (50 mM Tris-HCl, pH 7.5, 1% Triton X-100, 150 mM NaCl, 10 mM MgCl</w:t>
      </w:r>
      <w:r w:rsidRPr="00927A8C">
        <w:rPr>
          <w:vertAlign w:val="subscript"/>
          <w:lang w:val="en-US"/>
        </w:rPr>
        <w:t>2</w:t>
      </w:r>
      <w:r w:rsidRPr="00927A8C">
        <w:rPr>
          <w:lang w:val="en-US"/>
        </w:rPr>
        <w:t xml:space="preserve">, 10 μg/ml aprotinin, and 0.1 mM PMSF). SDS-PAGE sample buffer was added to each sample, and samples were heated at 95°C for 5 </w:t>
      </w:r>
      <w:r>
        <w:rPr>
          <w:lang w:val="en-US"/>
        </w:rPr>
        <w:t>minutes</w:t>
      </w:r>
      <w:r w:rsidRPr="00927A8C">
        <w:rPr>
          <w:lang w:val="en-US"/>
        </w:rPr>
        <w:t xml:space="preserve"> and then loaded onto gels. Total RhoA and RhoA-GTP amounts were detected by Western blot, quantified with the Quantity One analysis software (BIORAD), and expressed as relative RhoA-GTP/total RhoA.  </w:t>
      </w:r>
    </w:p>
    <w:p w:rsidR="00601A2B" w:rsidRDefault="00601A2B" w:rsidP="00601A2B">
      <w:pPr>
        <w:spacing w:line="480" w:lineRule="auto"/>
        <w:rPr>
          <w:lang w:val="en-US"/>
        </w:rPr>
      </w:pPr>
    </w:p>
    <w:p w:rsidR="00601A2B" w:rsidRPr="00927A8C" w:rsidRDefault="00601A2B" w:rsidP="00601A2B">
      <w:pPr>
        <w:spacing w:line="480" w:lineRule="auto"/>
        <w:rPr>
          <w:b/>
          <w:lang w:val="en-US"/>
        </w:rPr>
      </w:pPr>
      <w:r w:rsidRPr="00927A8C">
        <w:rPr>
          <w:b/>
          <w:lang w:val="en-US"/>
        </w:rPr>
        <w:t>Three-</w:t>
      </w:r>
      <w:r>
        <w:rPr>
          <w:b/>
          <w:lang w:val="en-US"/>
        </w:rPr>
        <w:t>D</w:t>
      </w:r>
      <w:r w:rsidRPr="00927A8C">
        <w:rPr>
          <w:b/>
          <w:lang w:val="en-US"/>
        </w:rPr>
        <w:t xml:space="preserve">imensional </w:t>
      </w:r>
      <w:r>
        <w:rPr>
          <w:b/>
          <w:lang w:val="en-US"/>
        </w:rPr>
        <w:t>E</w:t>
      </w:r>
      <w:r w:rsidRPr="00927A8C">
        <w:rPr>
          <w:b/>
          <w:lang w:val="en-US"/>
        </w:rPr>
        <w:t xml:space="preserve">xtracellular </w:t>
      </w:r>
      <w:r>
        <w:rPr>
          <w:b/>
          <w:lang w:val="en-US"/>
        </w:rPr>
        <w:t>M</w:t>
      </w:r>
      <w:r w:rsidRPr="00927A8C">
        <w:rPr>
          <w:b/>
          <w:lang w:val="en-US"/>
        </w:rPr>
        <w:t>atrices</w:t>
      </w:r>
    </w:p>
    <w:p w:rsidR="00601A2B" w:rsidRDefault="00601A2B" w:rsidP="00601A2B">
      <w:pPr>
        <w:spacing w:line="480" w:lineRule="auto"/>
        <w:rPr>
          <w:lang w:val="en-US"/>
        </w:rPr>
      </w:pPr>
      <w:r w:rsidRPr="00927A8C">
        <w:rPr>
          <w:lang w:val="en-US"/>
        </w:rPr>
        <w:t xml:space="preserve">Three-dimensional ECMs were generated following a previously-described protocol </w:t>
      </w:r>
      <w:r w:rsidRPr="00927A8C">
        <w:rPr>
          <w:lang w:val="en-US"/>
        </w:rPr>
        <w:fldChar w:fldCharType="begin" w:fldLock="1"/>
      </w:r>
      <w:r w:rsidR="00490695">
        <w:rPr>
          <w:lang w:val="en-US"/>
        </w:rPr>
        <w:instrText>ADDIN CSL_CITATION { "citationItems" : [ { "id" : "ITEM-1", "itemData" : { "DOI" : "10.1002/0471143030.cb1009s33", "ISSN" : "1934-2616", "PMID" : "18228495", "abstract" : "Fibroblasts secrete and organize extracellular matrix (ECM), which provides structural support for their adhesion, migration, and tissue organization, besides regulating cellular functions such as growth and survival. Cell-to-matrix interactions are vital for vertebrate development. Disorders in these processes have been associated with fibrosis, developmental malformations, cancer, and other diseases. This unit describes a method for preparing a three-dimensional matrix derived from NIH-3T3 cells; the matrix is three-dimensions, cell and debris free, and attached to a two-dimensional culture surface. Cell adhesion and spreading are normal on these matrices. This matrix can also be compressed into a two-dimensional matrix and solubilized to study the matrix biochemically.", "author" : [ { "dropping-particle" : "", "family" : "Beacham", "given" : "Dorothy A", "non-dropping-particle" : "", "parse-names" : false, "suffix" : "" }, { "dropping-particle" : "", "family" : "Amatangelo", "given" : "Michael D", "non-dropping-particle" : "", "parse-names" : false, "suffix" : "" }, { "dropping-particle" : "", "family" : "Cukierman", "given" : "Edna", "non-dropping-particle" : "", "parse-names" : false, "suffix" : "" } ], "container-title" : "Current protocols in cell biology / editorial board, Juan S. Bonifacino ... [et al.]", "id" : "ITEM-1", "issued" : { "date-parts" : [ [ "2007", "1" ] ] }, "page" : "Unit 10.9", "title" : "Preparation of extracellular matrices produced by cultured and primary fibroblasts.", "type" : "article-journal", "volume" : "Chapter 10" }, "uris" : [ "http://www.mendeley.com/documents/?uuid=83631876-b540-40eb-a7ee-8584411671d3" ] } ], "mendeley" : { "previouslyFormattedCitation" : "(1)" }, "properties" : { "noteIndex" : 0 }, "schema" : "https://github.com/citation-style-language/schema/raw/master/csl-citation.json" }</w:instrText>
      </w:r>
      <w:r w:rsidRPr="00927A8C">
        <w:rPr>
          <w:lang w:val="en-US"/>
        </w:rPr>
        <w:fldChar w:fldCharType="separate"/>
      </w:r>
      <w:r w:rsidRPr="00601A2B">
        <w:rPr>
          <w:noProof/>
          <w:lang w:val="en-US"/>
        </w:rPr>
        <w:t>(1)</w:t>
      </w:r>
      <w:r w:rsidRPr="00927A8C">
        <w:rPr>
          <w:lang w:val="en-US"/>
        </w:rPr>
        <w:fldChar w:fldCharType="end"/>
      </w:r>
      <w:r w:rsidRPr="00927A8C">
        <w:rPr>
          <w:lang w:val="en-US"/>
        </w:rPr>
        <w:t xml:space="preserve">. For 24 wells plates, 5 </w:t>
      </w:r>
      <w:r w:rsidRPr="00927A8C">
        <w:rPr>
          <w:lang w:val="en-US"/>
        </w:rPr>
        <w:sym w:font="Symbol" w:char="F0B4"/>
      </w:r>
      <w:r w:rsidRPr="00927A8C">
        <w:rPr>
          <w:lang w:val="en-US"/>
        </w:rPr>
        <w:t xml:space="preserve"> 10</w:t>
      </w:r>
      <w:r w:rsidRPr="00927A8C">
        <w:rPr>
          <w:vertAlign w:val="superscript"/>
          <w:lang w:val="en-US"/>
        </w:rPr>
        <w:t xml:space="preserve">5 </w:t>
      </w:r>
      <w:r w:rsidRPr="00927A8C">
        <w:rPr>
          <w:lang w:val="en-US"/>
        </w:rPr>
        <w:t xml:space="preserve">fibroblasts were seeded on gelatin cross-linked glass coverslips; for 96 wells plates, 1 </w:t>
      </w:r>
      <w:r w:rsidRPr="00927A8C">
        <w:rPr>
          <w:lang w:val="en-US"/>
        </w:rPr>
        <w:sym w:font="Symbol" w:char="F0B4"/>
      </w:r>
      <w:r w:rsidRPr="00927A8C">
        <w:rPr>
          <w:lang w:val="en-US"/>
        </w:rPr>
        <w:t xml:space="preserve"> 10</w:t>
      </w:r>
      <w:r w:rsidRPr="00927A8C">
        <w:rPr>
          <w:vertAlign w:val="superscript"/>
          <w:lang w:val="en-US"/>
        </w:rPr>
        <w:t>5</w:t>
      </w:r>
      <w:r w:rsidRPr="00927A8C">
        <w:rPr>
          <w:lang w:val="en-US"/>
        </w:rPr>
        <w:t xml:space="preserve"> fibroblasts were seeded on gelatin cross-linked cell culture plastic wells; and for Boyden Chamber inserts, 1 </w:t>
      </w:r>
      <w:r w:rsidRPr="00927A8C">
        <w:rPr>
          <w:lang w:val="en-US"/>
        </w:rPr>
        <w:sym w:font="Symbol" w:char="F0B4"/>
      </w:r>
      <w:r w:rsidRPr="00927A8C">
        <w:rPr>
          <w:lang w:val="en-US"/>
        </w:rPr>
        <w:t xml:space="preserve"> 10</w:t>
      </w:r>
      <w:r w:rsidRPr="00927A8C">
        <w:rPr>
          <w:vertAlign w:val="superscript"/>
          <w:lang w:val="en-US"/>
        </w:rPr>
        <w:t>5</w:t>
      </w:r>
      <w:r w:rsidRPr="00927A8C">
        <w:rPr>
          <w:lang w:val="en-US"/>
        </w:rPr>
        <w:t xml:space="preserve"> fibroblasts were </w:t>
      </w:r>
      <w:r w:rsidRPr="00927A8C">
        <w:rPr>
          <w:lang w:val="en-US"/>
        </w:rPr>
        <w:lastRenderedPageBreak/>
        <w:t>seeded in gelatin cross-linked inserts, using 100 µl of medium to prevent media leaking through the insert pores. Cell culture media was supplemented with 50 µg/ml ascorbic acid and, where indicated, 5 ng/ml TGF</w:t>
      </w:r>
      <w:r w:rsidRPr="00927A8C">
        <w:rPr>
          <w:rFonts w:ascii="Symbol" w:hAnsi="Symbol"/>
          <w:lang w:val="en-US"/>
        </w:rPr>
        <w:t></w:t>
      </w:r>
      <w:r w:rsidRPr="00927A8C">
        <w:rPr>
          <w:lang w:val="en-US"/>
        </w:rPr>
        <w:t>. To foster ECM deposition by the plated cells, media was replaced every two days for ten days. Cultures were then washed with pre-warmed (37ºC) PBS and either fixed with 4% PFA for immunofluorescence analysis, or decellularized with 20 mM NH</w:t>
      </w:r>
      <w:r w:rsidRPr="00927A8C">
        <w:rPr>
          <w:vertAlign w:val="subscript"/>
          <w:lang w:val="en-US"/>
        </w:rPr>
        <w:t>4</w:t>
      </w:r>
      <w:r w:rsidRPr="00927A8C">
        <w:rPr>
          <w:lang w:val="en-US"/>
        </w:rPr>
        <w:t>OH and 0.5% (v/v) Triton X-100 in PBS for later use as a cell culture substrate.</w:t>
      </w:r>
    </w:p>
    <w:p w:rsidR="00276E4E" w:rsidRDefault="00276E4E" w:rsidP="00601A2B">
      <w:pPr>
        <w:spacing w:line="480" w:lineRule="auto"/>
        <w:rPr>
          <w:lang w:val="en-US"/>
        </w:rPr>
      </w:pPr>
      <w:r w:rsidRPr="00276E4E">
        <w:rPr>
          <w:lang w:val="en-US"/>
        </w:rPr>
        <w:t xml:space="preserve">The orientation distribution of extracellular fibronectin fibers was estimated from immunofluorescence images using a filtering approach as follows. A bank of filament-like filters was constructed to reflect variations in rotation, scales, as well as curvature. In total 448 filters were used, covering 32 rotations, 7 scales, and 2 curvatures. Each filter was then digitally cross-correlated with the input image data and the angle of rotation corresponding to the largest response is chosen as the most likely fiber orientation for each pixels. Finally, the histograms shown in plot 1B only include pixels for which the cross correlation value exceeded the value of 0.6. The protocol is </w:t>
      </w:r>
      <w:r>
        <w:rPr>
          <w:lang w:val="en-US"/>
        </w:rPr>
        <w:t>in press (see ref 43 of the article).</w:t>
      </w:r>
      <w:bookmarkStart w:id="0" w:name="_GoBack"/>
      <w:bookmarkEnd w:id="0"/>
    </w:p>
    <w:p w:rsidR="00601A2B" w:rsidRPr="00927A8C" w:rsidRDefault="00601A2B" w:rsidP="00601A2B">
      <w:pPr>
        <w:spacing w:line="480" w:lineRule="auto"/>
        <w:rPr>
          <w:lang w:val="en-US"/>
        </w:rPr>
      </w:pPr>
    </w:p>
    <w:p w:rsidR="00601A2B" w:rsidRPr="00927A8C" w:rsidRDefault="00601A2B" w:rsidP="00601A2B">
      <w:pPr>
        <w:spacing w:line="480" w:lineRule="auto"/>
        <w:rPr>
          <w:b/>
          <w:lang w:val="en-US"/>
        </w:rPr>
      </w:pPr>
      <w:r w:rsidRPr="00927A8C">
        <w:rPr>
          <w:b/>
          <w:lang w:val="en-US"/>
        </w:rPr>
        <w:t xml:space="preserve">Migration and </w:t>
      </w:r>
      <w:r>
        <w:rPr>
          <w:b/>
          <w:lang w:val="en-US"/>
        </w:rPr>
        <w:t>I</w:t>
      </w:r>
      <w:r w:rsidRPr="00927A8C">
        <w:rPr>
          <w:b/>
          <w:lang w:val="en-US"/>
        </w:rPr>
        <w:t xml:space="preserve">nvasion </w:t>
      </w:r>
      <w:r>
        <w:rPr>
          <w:b/>
          <w:lang w:val="en-US"/>
        </w:rPr>
        <w:t>A</w:t>
      </w:r>
      <w:r w:rsidRPr="00927A8C">
        <w:rPr>
          <w:b/>
          <w:lang w:val="en-US"/>
        </w:rPr>
        <w:t>ssays</w:t>
      </w:r>
    </w:p>
    <w:p w:rsidR="00601A2B" w:rsidRPr="00927A8C" w:rsidRDefault="00601A2B" w:rsidP="00601A2B">
      <w:pPr>
        <w:spacing w:line="480" w:lineRule="auto"/>
        <w:rPr>
          <w:lang w:val="en-US"/>
        </w:rPr>
      </w:pPr>
      <w:r w:rsidRPr="00927A8C">
        <w:rPr>
          <w:lang w:val="en-US"/>
        </w:rPr>
        <w:t>Cell</w:t>
      </w:r>
      <w:r>
        <w:rPr>
          <w:lang w:val="en-US"/>
        </w:rPr>
        <w:t xml:space="preserve"> </w:t>
      </w:r>
      <w:r w:rsidRPr="00927A8C">
        <w:rPr>
          <w:lang w:val="en-US"/>
        </w:rPr>
        <w:t>tracker</w:t>
      </w:r>
      <w:r>
        <w:rPr>
          <w:lang w:val="en-US"/>
        </w:rPr>
        <w:t>–</w:t>
      </w:r>
      <w:r w:rsidRPr="00927A8C">
        <w:rPr>
          <w:lang w:val="en-US"/>
        </w:rPr>
        <w:t xml:space="preserve">labeled cells (1000) were seeded on decellularized ECMs generated on 96-well plates and left to attach overnight. Cells were monitored with a CellObserverHS system (Zeiss). Bright-field and fluorescence images were taken every 10 </w:t>
      </w:r>
      <w:r>
        <w:rPr>
          <w:lang w:val="en-US"/>
        </w:rPr>
        <w:t>minutes</w:t>
      </w:r>
      <w:r w:rsidRPr="00927A8C">
        <w:rPr>
          <w:lang w:val="en-US"/>
        </w:rPr>
        <w:t xml:space="preserve"> over 18 h</w:t>
      </w:r>
      <w:r>
        <w:rPr>
          <w:lang w:val="en-US"/>
        </w:rPr>
        <w:t>ours</w:t>
      </w:r>
      <w:r w:rsidRPr="00927A8C">
        <w:rPr>
          <w:lang w:val="en-US"/>
        </w:rPr>
        <w:t>, and the position coordinates for 10 single cells were calculated for each time point using the ImageJ software. Plots represent the movement over time of single cells relative to their initial positions.</w:t>
      </w:r>
    </w:p>
    <w:p w:rsidR="00601A2B" w:rsidRPr="00927A8C" w:rsidRDefault="00601A2B" w:rsidP="00601A2B">
      <w:pPr>
        <w:spacing w:line="480" w:lineRule="auto"/>
        <w:rPr>
          <w:lang w:val="en-US"/>
        </w:rPr>
      </w:pPr>
      <w:r w:rsidRPr="00927A8C">
        <w:rPr>
          <w:lang w:val="en-US"/>
        </w:rPr>
        <w:lastRenderedPageBreak/>
        <w:t>For invasion assays, decellularized ECMs were generated on 8 µm porous membranes of Boyden chamber inserts. Approximately 50 000 cells were then seeded in the upper part of the insert in serum-free media, while 10% serum-containing medium was placed in the well below as a chemoattractant. Cells were allowed to invade the ECM for 24 h</w:t>
      </w:r>
      <w:r>
        <w:rPr>
          <w:lang w:val="en-US"/>
        </w:rPr>
        <w:t>ours</w:t>
      </w:r>
      <w:r w:rsidRPr="00927A8C">
        <w:rPr>
          <w:lang w:val="en-US"/>
        </w:rPr>
        <w:t>, fixed with 4% paraformaldehyde (PFA) in PBS, and stained with crystal violet. Non-invading cells were removed from the insert upper side with a cotton swab. Invading cells were imaged with a transmitted light microscopy.</w:t>
      </w:r>
    </w:p>
    <w:p w:rsidR="00601A2B" w:rsidRDefault="00601A2B" w:rsidP="00601A2B">
      <w:pPr>
        <w:spacing w:line="480" w:lineRule="auto"/>
        <w:rPr>
          <w:lang w:val="en-US"/>
        </w:rPr>
      </w:pPr>
    </w:p>
    <w:p w:rsidR="00601A2B" w:rsidRPr="00927A8C" w:rsidRDefault="00601A2B" w:rsidP="00601A2B">
      <w:pPr>
        <w:spacing w:line="480" w:lineRule="auto"/>
        <w:rPr>
          <w:b/>
          <w:lang w:val="en-US"/>
        </w:rPr>
      </w:pPr>
      <w:r w:rsidRPr="00514500">
        <w:rPr>
          <w:b/>
          <w:i/>
          <w:lang w:val="en-US"/>
        </w:rPr>
        <w:t xml:space="preserve">In </w:t>
      </w:r>
      <w:r>
        <w:rPr>
          <w:b/>
          <w:i/>
          <w:lang w:val="en-US"/>
        </w:rPr>
        <w:t>V</w:t>
      </w:r>
      <w:r w:rsidRPr="00514500">
        <w:rPr>
          <w:b/>
          <w:i/>
          <w:lang w:val="en-US"/>
        </w:rPr>
        <w:t>ivo</w:t>
      </w:r>
      <w:r w:rsidRPr="00927A8C">
        <w:rPr>
          <w:b/>
          <w:lang w:val="en-US"/>
        </w:rPr>
        <w:t xml:space="preserve"> </w:t>
      </w:r>
      <w:r>
        <w:rPr>
          <w:b/>
          <w:lang w:val="en-US"/>
        </w:rPr>
        <w:t>W</w:t>
      </w:r>
      <w:r w:rsidRPr="00927A8C">
        <w:rPr>
          <w:b/>
          <w:lang w:val="en-US"/>
        </w:rPr>
        <w:t xml:space="preserve">ound </w:t>
      </w:r>
      <w:r>
        <w:rPr>
          <w:b/>
          <w:lang w:val="en-US"/>
        </w:rPr>
        <w:t>H</w:t>
      </w:r>
      <w:r w:rsidRPr="00927A8C">
        <w:rPr>
          <w:b/>
          <w:lang w:val="en-US"/>
        </w:rPr>
        <w:t>ealing</w:t>
      </w:r>
    </w:p>
    <w:p w:rsidR="00601A2B" w:rsidRDefault="00601A2B" w:rsidP="00601A2B">
      <w:pPr>
        <w:spacing w:line="480" w:lineRule="auto"/>
        <w:rPr>
          <w:lang w:val="en-US"/>
        </w:rPr>
      </w:pPr>
      <w:r w:rsidRPr="00927A8C">
        <w:rPr>
          <w:i/>
          <w:lang w:val="en-US"/>
        </w:rPr>
        <w:t>Snai1</w:t>
      </w:r>
      <w:r w:rsidRPr="00927A8C">
        <w:rPr>
          <w:vertAlign w:val="superscript"/>
          <w:lang w:val="en-US"/>
        </w:rPr>
        <w:t>+/flox</w:t>
      </w:r>
      <w:r w:rsidRPr="00927A8C">
        <w:rPr>
          <w:lang w:val="en-US"/>
        </w:rPr>
        <w:t xml:space="preserve"> and </w:t>
      </w:r>
      <w:r w:rsidRPr="00927A8C">
        <w:rPr>
          <w:i/>
          <w:lang w:val="en-US"/>
        </w:rPr>
        <w:t>Snai1</w:t>
      </w:r>
      <w:r w:rsidRPr="00927A8C">
        <w:rPr>
          <w:vertAlign w:val="superscript"/>
          <w:lang w:val="en-US"/>
        </w:rPr>
        <w:t>-/flox</w:t>
      </w:r>
      <w:r w:rsidRPr="00927A8C">
        <w:rPr>
          <w:lang w:val="en-US"/>
        </w:rPr>
        <w:t xml:space="preserve"> mice were treated with tamoxifen both intraperitoneally and cutaneously. A solution of 0.2 mg tamoxifen in corn oil solution per gram of body weight was injected intraperitoneally every 48</w:t>
      </w:r>
      <w:r>
        <w:rPr>
          <w:lang w:val="en-US"/>
        </w:rPr>
        <w:t xml:space="preserve"> hours </w:t>
      </w:r>
      <w:r w:rsidRPr="00927A8C">
        <w:rPr>
          <w:lang w:val="en-US"/>
        </w:rPr>
        <w:t>for 4 times. At 24</w:t>
      </w:r>
      <w:r>
        <w:rPr>
          <w:lang w:val="en-US"/>
        </w:rPr>
        <w:t xml:space="preserve"> hours </w:t>
      </w:r>
      <w:r w:rsidRPr="00927A8C">
        <w:rPr>
          <w:lang w:val="en-US"/>
        </w:rPr>
        <w:t>after the first injection, a cutaneous application of 4-hydroxytamoxifen in acetone (200 µl of 10 mg/ml) in a shaved dorsal hair area was applied; this was repeated after every injection. Ten days after the first tamoxifen injection, mice were anesthetized with isoflurane (FORANE</w:t>
      </w:r>
      <w:r w:rsidRPr="00927A8C">
        <w:rPr>
          <w:vertAlign w:val="superscript"/>
          <w:lang w:val="en-US"/>
        </w:rPr>
        <w:t>®</w:t>
      </w:r>
      <w:r w:rsidRPr="00927A8C">
        <w:rPr>
          <w:lang w:val="en-US"/>
        </w:rPr>
        <w:t>, Abbot Laboratories, Abbot Park, IL, USA) for skin wounding. After cleaning the exposed skin with 70% ethanol, full-thickness excisional skin wounds were made aseptically on either side of the dorsal midline using a 6 mm biopsy punch. Two wounds were usually made on the same animal. Wounds were photographed and measured at 1, 2, and 5</w:t>
      </w:r>
      <w:r>
        <w:rPr>
          <w:lang w:val="en-US"/>
        </w:rPr>
        <w:t xml:space="preserve"> </w:t>
      </w:r>
      <w:r w:rsidRPr="00927A8C">
        <w:rPr>
          <w:lang w:val="en-US"/>
        </w:rPr>
        <w:t>days. The wound tissue and surrounding skin from the wound margin were harvested from mice at five days post-wounding, fixed in formalin, embedded in paraffin, and sectioned in 4 µM slices for immunohistological analysis. This study was approved by the Animal Experimentation Ethical Committee of the IMAS (Barcelona, Spain).</w:t>
      </w:r>
    </w:p>
    <w:p w:rsidR="00601A2B" w:rsidRPr="00927A8C" w:rsidRDefault="00601A2B" w:rsidP="00601A2B">
      <w:pPr>
        <w:spacing w:line="480" w:lineRule="auto"/>
        <w:rPr>
          <w:lang w:val="en-US"/>
        </w:rPr>
      </w:pPr>
      <w:r w:rsidRPr="00927A8C">
        <w:rPr>
          <w:lang w:val="en-US"/>
        </w:rPr>
        <w:t xml:space="preserve"> </w:t>
      </w:r>
    </w:p>
    <w:p w:rsidR="00601A2B" w:rsidRPr="00927A8C" w:rsidRDefault="00601A2B" w:rsidP="00601A2B">
      <w:pPr>
        <w:spacing w:line="480" w:lineRule="auto"/>
        <w:rPr>
          <w:b/>
          <w:lang w:val="en-US"/>
        </w:rPr>
      </w:pPr>
      <w:r w:rsidRPr="00927A8C">
        <w:rPr>
          <w:b/>
          <w:lang w:val="en-US"/>
        </w:rPr>
        <w:lastRenderedPageBreak/>
        <w:t>Fibronectin Fibrillogenesis</w:t>
      </w:r>
    </w:p>
    <w:p w:rsidR="00601A2B" w:rsidRPr="00927A8C" w:rsidRDefault="00601A2B" w:rsidP="00601A2B">
      <w:pPr>
        <w:spacing w:line="480" w:lineRule="auto"/>
        <w:rPr>
          <w:lang w:val="en-US"/>
        </w:rPr>
      </w:pPr>
      <w:r w:rsidRPr="00927A8C">
        <w:rPr>
          <w:lang w:val="en-US"/>
        </w:rPr>
        <w:t>Glass coverslips were coated overnight with purified soluble fibronectin (2 µg/ml) in PBS. After extensively washing with PBS, cells were plated, grown for 16, 24, or 60 h</w:t>
      </w:r>
      <w:r>
        <w:rPr>
          <w:lang w:val="en-US"/>
        </w:rPr>
        <w:t>ours</w:t>
      </w:r>
      <w:r w:rsidRPr="00927A8C">
        <w:rPr>
          <w:lang w:val="en-US"/>
        </w:rPr>
        <w:t>, and then fixed with 4% PFA in PBS. Background fibronectin left unpolymerized by cells was visualized by immunohistochemistry, and fibronectin fibrillogenesis was estimated using ImageJ software as the fibronectin-cleared background area (with an intensity value lower that a background threshold level) normalized by the number of cells in a field. An area affected by a minimum of 100 cells per condition was analyzed. No differences in the effects of TGF</w:t>
      </w:r>
      <w:r w:rsidRPr="00927A8C">
        <w:rPr>
          <w:rFonts w:ascii="Symbol" w:hAnsi="Symbol"/>
          <w:lang w:val="en-US"/>
        </w:rPr>
        <w:t></w:t>
      </w:r>
      <w:r w:rsidRPr="00927A8C">
        <w:rPr>
          <w:lang w:val="en-US"/>
        </w:rPr>
        <w:t xml:space="preserve"> at 16, 24, or 60</w:t>
      </w:r>
      <w:r>
        <w:rPr>
          <w:lang w:val="en-US"/>
        </w:rPr>
        <w:t xml:space="preserve"> hours </w:t>
      </w:r>
      <w:r w:rsidRPr="00927A8C">
        <w:rPr>
          <w:lang w:val="en-US"/>
        </w:rPr>
        <w:t xml:space="preserve">were observed. </w:t>
      </w:r>
    </w:p>
    <w:p w:rsidR="00601A2B" w:rsidRPr="00927A8C" w:rsidRDefault="00601A2B" w:rsidP="00601A2B">
      <w:pPr>
        <w:spacing w:line="480" w:lineRule="auto"/>
        <w:rPr>
          <w:lang w:val="en-US"/>
        </w:rPr>
      </w:pPr>
    </w:p>
    <w:p w:rsidR="00601A2B" w:rsidRPr="00927A8C" w:rsidRDefault="00601A2B" w:rsidP="00601A2B">
      <w:pPr>
        <w:spacing w:line="480" w:lineRule="auto"/>
        <w:rPr>
          <w:b/>
          <w:lang w:val="en-US"/>
        </w:rPr>
      </w:pPr>
      <w:r w:rsidRPr="00927A8C">
        <w:rPr>
          <w:b/>
          <w:lang w:val="en-US"/>
        </w:rPr>
        <w:t>Young’s Modulus (Ε)</w:t>
      </w:r>
    </w:p>
    <w:p w:rsidR="00601A2B" w:rsidRPr="00927A8C" w:rsidRDefault="00601A2B" w:rsidP="00601A2B">
      <w:pPr>
        <w:spacing w:line="480" w:lineRule="auto"/>
        <w:rPr>
          <w:lang w:val="en-US"/>
        </w:rPr>
      </w:pPr>
      <w:r w:rsidRPr="00927A8C">
        <w:rPr>
          <w:lang w:val="en-US"/>
        </w:rPr>
        <w:t>Rigidity of decellularized extracellular matrices was analyzed by atomic force microscopy. Complete elimination of cells from matrices was confirmed by fluorescent microscopy in parallel MEFs-labeled cultures (CellTracker™ Green CMFDA).</w:t>
      </w:r>
    </w:p>
    <w:p w:rsidR="00601A2B" w:rsidRPr="00927A8C" w:rsidRDefault="00601A2B" w:rsidP="00601A2B">
      <w:pPr>
        <w:spacing w:line="480" w:lineRule="auto"/>
        <w:rPr>
          <w:lang w:val="en-US"/>
        </w:rPr>
      </w:pPr>
      <w:r w:rsidRPr="00927A8C">
        <w:rPr>
          <w:lang w:val="en-US"/>
        </w:rPr>
        <w:t xml:space="preserve">Decellularized ECMs were extensively washed with (37ºC) PBS, and Young’s Modulus was measured with a custom-built AFM attached to an inverted optical microscope (TE2000, Nikon, Tokyo, Japan) using a previously described method </w:t>
      </w:r>
      <w:r w:rsidRPr="00927A8C">
        <w:rPr>
          <w:lang w:val="en-US"/>
        </w:rPr>
        <w:fldChar w:fldCharType="begin" w:fldLock="1"/>
      </w:r>
      <w:r w:rsidR="00490695">
        <w:rPr>
          <w:lang w:val="en-US"/>
        </w:rPr>
        <w:instrText>ADDIN CSL_CITATION { "citationItems" : [ { "id" : "ITEM-1", "itemData" : { "DOI" : "10.1016/S0006-3495(03)75014-0", "ISSN" : "0006-3495", "PMID" : "12609908", "abstract" : "Lung epithelial cells are subjected to large cyclic forces from breathing. However, their response to dynamic stresses is poorly defined. We measured the complex shear modulus (G(*)(omega)) of human alveolar (A549) and bronchial (BEAS-2B) epithelial cells over three frequency decades (0.1-100 Hz) and at different loading forces (0.1-0.9 nN) with atomic force microscopy. G(*)(omega) was computed by correcting force-indentation oscillatory data for the tip-cell contact geometry and for the hydrodynamic viscous drag. Both cell types displayed similar viscoelastic properties. The storage modulus G'(omega) increased with frequency following a power law with exponent approximately 0.2. The loss modulus G\"(omega) was approximately 2/3 lower and increased similarly to G'(omega) up to approximately 10 Hz, but exhibited a steeper rise at higher frequencies. The cells showed a weak force dependence of G'(omega) and G\"(omega). G(*)(omega) conformed to the power-law model with a structural damping coefficient of approximately 0.3, indicating a coupling of elastic and dissipative processes within the cell. Power-law behavior implies a continuum distribution of stress relaxation time constants. This complex dynamics is consistent with the rheology of soft glassy materials close to a glass transition, thereby suggesting that structural disorder and metastability may be fundamental features of cell architecture.", "author" : [ { "dropping-particle" : "", "family" : "Alcaraz", "given" : "Jordi", "non-dropping-particle" : "", "parse-names" : false, "suffix" : "" }, { "dropping-particle" : "", "family" : "Buscemi", "given" : "Lara", "non-dropping-particle" : "", "parse-names" : false, "suffix" : "" }, { "dropping-particle" : "", "family" : "Grabulosa", "given" : "Mireia", "non-dropping-particle" : "", "parse-names" : false, "suffix" : "" }, { "dropping-particle" : "", "family" : "Trepat", "given" : "Xavier", "non-dropping-particle" : "", "parse-names" : false, "suffix" : "" }, { "dropping-particle" : "", "family" : "Fabry", "given" : "Ben", "non-dropping-particle" : "", "parse-names" : false, "suffix" : "" }, { "dropping-particle" : "", "family" : "Farr\u00e9", "given" : "Ramon", "non-dropping-particle" : "", "parse-names" : false, "suffix" : "" }, { "dropping-particle" : "", "family" : "Navajas", "given" : "Daniel", "non-dropping-particle" : "", "parse-names" : false, "suffix" : "" } ], "container-title" : "Biophysical journal", "id" : "ITEM-1", "issue" : "3", "issued" : { "date-parts" : [ [ "2003", "3" ] ] }, "page" : "2071-9", "title" : "Microrheology of human lung epithelial cells measured by atomic force microscopy.", "type" : "article-journal", "volume" : "84" }, "uris" : [ "http://www.mendeley.com/documents/?uuid=833611d2-b762-4636-ac45-eb0ac6991e46" ] }, { "id" : "ITEM-2", "itemData" : { "DOI" : "10.1089/ten.TEA.2012.0077", "ISSN" : "1937-335X", "PMID" : "23157379", "abstract" : "This work describes the development of a three-dimensional (3D) model of osteogenesis using mouse preosteoblastic MC3T3-E1 cells and a soft synthetic matrix made out of self-assembling peptide nanofibers. By adjusting the matrix stiffness to very low values (around 120 Pa), cells were found to migrate within the matrix, interact forming a cell-cell network, and create a contracted and stiffer structure. Interestingly, during this process, cells spontaneously upregulate the expression of bone-related proteins such as collagen type I, bone sialoprotein, and osteocalcin, indicating that the 3D environment enhances their osteogenic potential. However, unlike MC3T3-E1 cultures in 2D, the addition of dexamethasone is required to acquire a final mature phenotype characterized by features such as matrix mineralization. Moreover, a slight increase in the hydrogel stiffness (threefold) or the addition of a cell contractility inhibitor (Rho kinase inhibitor) abrogates cell elongation, migration, and 3D culture contraction. However, this mechanical inhibition does not seem to noticeably affect the osteogenic process, at least at early culture times. This 3D bone model intends to emphasize cell-cell interactions, which have a critical role during tissue formation, by using a compliant unrestricted synthetic matrix.", "author" : [ { "dropping-particle" : "", "family" : "Mar\u00ed-Buy\u00e9", "given" : "N\u00faria", "non-dropping-particle" : "", "parse-names" : false, "suffix" : "" }, { "dropping-particle" : "", "family" : "Luque", "given" : "Tom\u00e1s", "non-dropping-particle" : "", "parse-names" : false, "suffix" : "" }, { "dropping-particle" : "", "family" : "Navajas", "given" : "Daniel", "non-dropping-particle" : "", "parse-names" : false, "suffix" : "" }, { "dropping-particle" : "", "family" : "Semino", "given" : "Carlos E", "non-dropping-particle" : "", "parse-names" : false, "suffix" : "" } ], "container-title" : "Tissue engineering. Part A", "id" : "ITEM-2", "issue" : "7-8", "issued" : { "date-parts" : [ [ "2013", "4" ] ] }, "page" : "870-81", "title" : "Development of a three-dimensional bone-like construct in a soft self-assembling peptide matrix.", "type" : "article-journal", "volume" : "19" }, "uris" : [ "http://www.mendeley.com/documents/?uuid=a0489355-ba26-4f37-8273-982b5e1683e2" ] } ], "mendeley" : { "manualFormatting" : "(2, 3)", "previouslyFormattedCitation" : "(2,3)" }, "properties" : { "noteIndex" : 0 }, "schema" : "https://github.com/citation-style-language/schema/raw/master/csl-citation.json" }</w:instrText>
      </w:r>
      <w:r w:rsidRPr="00927A8C">
        <w:rPr>
          <w:lang w:val="en-US"/>
        </w:rPr>
        <w:fldChar w:fldCharType="separate"/>
      </w:r>
      <w:r w:rsidRPr="00444443">
        <w:rPr>
          <w:noProof/>
          <w:lang w:val="en-US"/>
        </w:rPr>
        <w:t>(</w:t>
      </w:r>
      <w:r w:rsidR="00490695">
        <w:rPr>
          <w:noProof/>
          <w:lang w:val="en-US"/>
        </w:rPr>
        <w:t>2</w:t>
      </w:r>
      <w:r w:rsidRPr="00444443">
        <w:rPr>
          <w:noProof/>
          <w:lang w:val="en-US"/>
        </w:rPr>
        <w:t>,</w:t>
      </w:r>
      <w:r>
        <w:rPr>
          <w:noProof/>
          <w:lang w:val="en-US"/>
        </w:rPr>
        <w:t xml:space="preserve"> </w:t>
      </w:r>
      <w:r w:rsidR="00490695">
        <w:rPr>
          <w:noProof/>
          <w:lang w:val="en-US"/>
        </w:rPr>
        <w:t>3</w:t>
      </w:r>
      <w:r w:rsidRPr="00444443">
        <w:rPr>
          <w:noProof/>
          <w:lang w:val="en-US"/>
        </w:rPr>
        <w:t>)</w:t>
      </w:r>
      <w:r w:rsidRPr="00927A8C">
        <w:rPr>
          <w:lang w:val="en-US"/>
        </w:rPr>
        <w:fldChar w:fldCharType="end"/>
      </w:r>
      <w:r w:rsidRPr="00927A8C">
        <w:rPr>
          <w:lang w:val="en-US"/>
        </w:rPr>
        <w:t>. The matrices were probed with V-shaped pyramidal cantilevers with nominal spring constant (k) of 0.01 and 0.03 N/m (MLCT, Bruker, Mannheim, Germany). The cantilever was displaced in 3D with nanometric resolution (z) and the defection of the cantilever (d) was measured using the optical lever method. The force (F) on the cantilever was computed as F = k(d – d</w:t>
      </w:r>
      <w:r w:rsidRPr="00927A8C">
        <w:rPr>
          <w:vertAlign w:val="subscript"/>
          <w:lang w:val="en-US"/>
        </w:rPr>
        <w:t>off</w:t>
      </w:r>
      <w:r w:rsidRPr="00927A8C">
        <w:rPr>
          <w:lang w:val="en-US"/>
        </w:rPr>
        <w:t>) being d</w:t>
      </w:r>
      <w:r w:rsidRPr="00927A8C">
        <w:rPr>
          <w:vertAlign w:val="subscript"/>
          <w:lang w:val="en-US"/>
        </w:rPr>
        <w:t>off</w:t>
      </w:r>
      <w:r w:rsidRPr="00927A8C">
        <w:rPr>
          <w:lang w:val="en-US"/>
        </w:rPr>
        <w:t xml:space="preserve"> the offset of the photodiode. The indentation of the sample (δ) was computed as δ = (z – z</w:t>
      </w:r>
      <w:r w:rsidRPr="00927A8C">
        <w:rPr>
          <w:vertAlign w:val="subscript"/>
          <w:lang w:val="en-US"/>
        </w:rPr>
        <w:t>c</w:t>
      </w:r>
      <w:r w:rsidRPr="00927A8C">
        <w:rPr>
          <w:lang w:val="en-US"/>
        </w:rPr>
        <w:t>) – (d – d</w:t>
      </w:r>
      <w:r w:rsidRPr="00927A8C">
        <w:rPr>
          <w:vertAlign w:val="subscript"/>
          <w:lang w:val="en-US"/>
        </w:rPr>
        <w:t>off</w:t>
      </w:r>
      <w:r w:rsidRPr="00927A8C">
        <w:rPr>
          <w:lang w:val="en-US"/>
        </w:rPr>
        <w:t>), where z</w:t>
      </w:r>
      <w:r w:rsidRPr="00927A8C">
        <w:rPr>
          <w:vertAlign w:val="subscript"/>
          <w:lang w:val="en-US"/>
        </w:rPr>
        <w:t>c</w:t>
      </w:r>
      <w:r w:rsidRPr="00927A8C">
        <w:rPr>
          <w:lang w:val="en-US"/>
        </w:rPr>
        <w:t xml:space="preserve"> is the position of the tip-matrix contact point. ECM samples were measured at 9–13 points separated by 20 </w:t>
      </w:r>
      <w:r w:rsidRPr="00927A8C">
        <w:rPr>
          <w:lang w:val="en-US"/>
        </w:rPr>
        <w:sym w:font="Symbol" w:char="F06D"/>
      </w:r>
      <w:r w:rsidRPr="00927A8C">
        <w:rPr>
          <w:lang w:val="en-US"/>
        </w:rPr>
        <w:t xml:space="preserve">m. At each measurement point, 5 F-δ curves were recorded (1 Hz </w:t>
      </w:r>
      <w:r w:rsidRPr="00927A8C">
        <w:rPr>
          <w:lang w:val="en-US"/>
        </w:rPr>
        <w:lastRenderedPageBreak/>
        <w:t>triangular displacement, peak-to-peak amplitude of 5 μm), which were analyzed with the pyramidal Hertz model</w:t>
      </w:r>
    </w:p>
    <w:p w:rsidR="00601A2B" w:rsidRPr="007F6B6B" w:rsidRDefault="00601A2B" w:rsidP="00601A2B">
      <w:pPr>
        <w:spacing w:line="480" w:lineRule="auto"/>
        <w:rPr>
          <w:lang w:val="en-US"/>
        </w:rPr>
      </w:pPr>
      <m:oMathPara>
        <m:oMath>
          <m:r>
            <w:rPr>
              <w:rFonts w:ascii="Cambria Math" w:hAnsi="Cambria Math"/>
              <w:lang w:val="en-US"/>
            </w:rPr>
            <m:t xml:space="preserve">F= </m:t>
          </m:r>
          <m:f>
            <m:fPr>
              <m:ctrlPr>
                <w:rPr>
                  <w:rFonts w:ascii="Cambria Math" w:hAnsi="Cambria Math"/>
                  <w:i/>
                  <w:lang w:val="en-US"/>
                </w:rPr>
              </m:ctrlPr>
            </m:fPr>
            <m:num>
              <m:r>
                <w:rPr>
                  <w:rFonts w:ascii="Cambria Math" w:hAnsi="Cambria Math"/>
                  <w:lang w:val="en-US"/>
                </w:rPr>
                <m:t xml:space="preserve">3 E </m:t>
              </m:r>
              <m:func>
                <m:funcPr>
                  <m:ctrlPr>
                    <w:rPr>
                      <w:rFonts w:ascii="Cambria Math" w:hAnsi="Cambria Math"/>
                      <w:i/>
                      <w:lang w:val="en-US"/>
                    </w:rPr>
                  </m:ctrlPr>
                </m:funcPr>
                <m:fName>
                  <m:r>
                    <m:rPr>
                      <m:sty m:val="p"/>
                    </m:rPr>
                    <w:rPr>
                      <w:rFonts w:ascii="Cambria Math" w:hAnsi="Cambria Math"/>
                      <w:lang w:val="en-US"/>
                    </w:rPr>
                    <m:t>tan</m:t>
                  </m:r>
                </m:fName>
                <m:e>
                  <m:r>
                    <w:rPr>
                      <w:rFonts w:ascii="Cambria Math" w:hAnsi="Cambria Math"/>
                      <w:lang w:val="en-US"/>
                    </w:rPr>
                    <m:t>θ</m:t>
                  </m:r>
                </m:e>
              </m:func>
            </m:num>
            <m:den>
              <m:r>
                <w:rPr>
                  <w:rFonts w:ascii="Cambria Math" w:hAnsi="Cambria Math"/>
                  <w:lang w:val="en-US"/>
                </w:rPr>
                <m:t xml:space="preserve">4 (1- </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r>
                <w:rPr>
                  <w:rFonts w:ascii="Cambria Math" w:hAnsi="Cambria Math"/>
                  <w:lang w:val="en-US"/>
                </w:rPr>
                <m:t>)</m:t>
              </m:r>
            </m:den>
          </m:f>
          <m:sSup>
            <m:sSupPr>
              <m:ctrlPr>
                <w:rPr>
                  <w:rFonts w:ascii="Cambria Math" w:hAnsi="Cambria Math"/>
                  <w:i/>
                  <w:lang w:val="en-US"/>
                </w:rPr>
              </m:ctrlPr>
            </m:sSupPr>
            <m:e>
              <m:r>
                <w:rPr>
                  <w:rFonts w:ascii="Cambria Math" w:hAnsi="Cambria Math"/>
                  <w:lang w:val="en-US"/>
                </w:rPr>
                <m:t>δ</m:t>
              </m:r>
            </m:e>
            <m:sup>
              <m:r>
                <w:rPr>
                  <w:rFonts w:ascii="Cambria Math" w:hAnsi="Cambria Math"/>
                  <w:lang w:val="en-US"/>
                </w:rPr>
                <m:t>2</m:t>
              </m:r>
            </m:sup>
          </m:sSup>
        </m:oMath>
      </m:oMathPara>
    </w:p>
    <w:p w:rsidR="00601A2B" w:rsidRPr="00927A8C" w:rsidRDefault="00601A2B" w:rsidP="00601A2B">
      <w:pPr>
        <w:spacing w:line="480" w:lineRule="auto"/>
        <w:rPr>
          <w:lang w:val="en-US"/>
        </w:rPr>
      </w:pPr>
      <w:r w:rsidRPr="00927A8C">
        <w:rPr>
          <w:lang w:val="en-US"/>
        </w:rPr>
        <w:t xml:space="preserve">where θ is the semi-included angle of the tip and σ is the Poisson’s ratio, assumed to be 0.5.  Nonlinear least-squares fit (Matlab, The MathWorks, Natick, MA) was used to estimate E from the loading branch of the F-δ curve for a maximum indentation of 1 µm. The average E obtained from the five force curves recorded at each measurement point was computed. </w:t>
      </w:r>
    </w:p>
    <w:p w:rsidR="00601A2B" w:rsidRPr="00927A8C" w:rsidRDefault="00601A2B" w:rsidP="00601A2B">
      <w:pPr>
        <w:spacing w:line="480" w:lineRule="auto"/>
        <w:rPr>
          <w:lang w:val="en-US"/>
        </w:rPr>
      </w:pPr>
      <w:r w:rsidRPr="00927A8C">
        <w:rPr>
          <w:lang w:val="en-US"/>
        </w:rPr>
        <w:t xml:space="preserve">E values were presented in a box plot. Boxes represent the median and the 25%–75% interquartile range, and whiskers mark the 1.5× interquartile range. Circles denote outlying values. The asterisk indicates a statistically significant difference (P &gt; 0.001) between groups as determined by ANOVA on ranks and Dunn's method (for the ECMs from KO–, KO+TGFß–, control–, and control+TGFß– MEFs, </w:t>
      </w:r>
      <w:r w:rsidRPr="00334D6C">
        <w:rPr>
          <w:i/>
          <w:lang w:val="en-US"/>
        </w:rPr>
        <w:t>n</w:t>
      </w:r>
      <w:r w:rsidRPr="00927A8C">
        <w:rPr>
          <w:lang w:val="en-US"/>
        </w:rPr>
        <w:t xml:space="preserve"> equals 7, 38, 16, and 49, respectively).</w:t>
      </w:r>
    </w:p>
    <w:p w:rsidR="00601A2B" w:rsidRPr="00927A8C" w:rsidRDefault="00601A2B" w:rsidP="00601A2B">
      <w:pPr>
        <w:spacing w:line="480" w:lineRule="auto"/>
        <w:rPr>
          <w:lang w:val="en-US"/>
        </w:rPr>
      </w:pPr>
    </w:p>
    <w:p w:rsidR="00601A2B" w:rsidRPr="007F6B6B" w:rsidRDefault="00601A2B" w:rsidP="00601A2B">
      <w:pPr>
        <w:spacing w:line="480" w:lineRule="auto"/>
        <w:rPr>
          <w:b/>
          <w:lang w:val="en-US"/>
        </w:rPr>
      </w:pPr>
      <w:r w:rsidRPr="007F6B6B">
        <w:rPr>
          <w:b/>
          <w:lang w:val="en-US"/>
        </w:rPr>
        <w:t>Cell Differentiation</w:t>
      </w:r>
    </w:p>
    <w:p w:rsidR="00601A2B" w:rsidRPr="007F6B6B" w:rsidRDefault="00601A2B" w:rsidP="00601A2B">
      <w:pPr>
        <w:spacing w:line="480" w:lineRule="auto"/>
        <w:rPr>
          <w:lang w:val="en-US"/>
        </w:rPr>
      </w:pPr>
      <w:r w:rsidRPr="007F6B6B">
        <w:rPr>
          <w:lang w:val="en-US"/>
        </w:rPr>
        <w:t>Cells for differentiation were grown on decellularized, MEF-derived ECMs that had been previously stored at 4°C. Osteogenic differentiation of MSCs was induced by adding 100 nM dexamethasone, 10 mM ß-glycerophosphate, and 50 mM L-ascorbic acid-2-phosphate to a confluent culture for 3 days. Cells were cultured in DMEM plus 10% FBS for an additional 3 or 6 days and then stained with alkaline phosphatase.</w:t>
      </w:r>
    </w:p>
    <w:p w:rsidR="00601A2B" w:rsidRPr="007F6B6B" w:rsidRDefault="00601A2B" w:rsidP="00601A2B">
      <w:pPr>
        <w:spacing w:after="200" w:line="480" w:lineRule="auto"/>
        <w:rPr>
          <w:lang w:val="en-US"/>
        </w:rPr>
      </w:pPr>
      <w:r w:rsidRPr="007F6B6B">
        <w:rPr>
          <w:lang w:val="en-US"/>
        </w:rPr>
        <w:t xml:space="preserve">Myogenic differentiation was induced in confluent C2C12 by serum deprivation. The culture medium of the confluent cells was replaced with induction medium (IM) consisting of DMEM supplemented with 2% FCS and 1% penicillin/streptomycin at 37°C in a humidified incubator under 5% CO2, and the IM was replaced every day. </w:t>
      </w:r>
      <w:r w:rsidRPr="007F6B6B">
        <w:rPr>
          <w:lang w:val="en-US"/>
        </w:rPr>
        <w:lastRenderedPageBreak/>
        <w:t>Myogenin II expression was anal</w:t>
      </w:r>
      <w:r>
        <w:rPr>
          <w:lang w:val="en-US"/>
        </w:rPr>
        <w:t>yze</w:t>
      </w:r>
      <w:r w:rsidRPr="007F6B6B">
        <w:rPr>
          <w:lang w:val="en-US"/>
        </w:rPr>
        <w:t xml:space="preserve">d by immunofluorescence in DAPI-counterstained samples, and the percentage of myogenin-expressing cells was calculated by counting positive cells from fluorescent microscopy images. A minimum of 500 cells per condition were counted. </w:t>
      </w:r>
    </w:p>
    <w:p w:rsidR="00601A2B" w:rsidRDefault="00601A2B" w:rsidP="00601A2B">
      <w:pPr>
        <w:spacing w:line="480" w:lineRule="auto"/>
        <w:rPr>
          <w:b/>
          <w:lang w:val="en-US"/>
        </w:rPr>
      </w:pPr>
    </w:p>
    <w:p w:rsidR="00601A2B" w:rsidRPr="00927A8C" w:rsidRDefault="00601A2B" w:rsidP="00601A2B">
      <w:pPr>
        <w:spacing w:line="480" w:lineRule="auto"/>
        <w:rPr>
          <w:b/>
          <w:lang w:val="en-US"/>
        </w:rPr>
      </w:pPr>
      <w:r w:rsidRPr="00927A8C">
        <w:rPr>
          <w:b/>
          <w:lang w:val="en-US"/>
        </w:rPr>
        <w:t>Analysis of tumor samples</w:t>
      </w:r>
    </w:p>
    <w:p w:rsidR="00601A2B" w:rsidRPr="00927A8C" w:rsidRDefault="00601A2B" w:rsidP="00601A2B">
      <w:pPr>
        <w:spacing w:line="480" w:lineRule="auto"/>
        <w:rPr>
          <w:lang w:val="en-US"/>
        </w:rPr>
      </w:pPr>
      <w:r w:rsidRPr="00927A8C">
        <w:rPr>
          <w:lang w:val="en-US"/>
        </w:rPr>
        <w:t>Surgical resection specimens from primary breast tumors were obtained from Parc de Salut Mar Biobank (MARBiobanc, Barcelona, Spain), Fundación Jiménez Díaz Biobank (Madrid, Spain), and Valencia Clinic Hospital Biobank (València, Spain). Formalin-fixed paraffin-embedded (FFPE) tumor blocks were retrospectively selected from consecutive breast cancer patients diagnosed between 1998 and 2000, based on the following criteria: infiltrating carcinomas, operable, no neoadjuvant therapy, enough available tissue, and a clinical follow-up. TNM (tumor–node–metastasis) staging was classified using the American Joint Committee on Cancer (AJCC) staging system. Histological grade was defined according Scarff–Bloom–Richardson modified by Elston. ER and PR were determined by immunohistochemistry (IHC) (SP1 and PgR636 clones, respectively; Dako, Carpinteria, CA) establishing positivity criteria in ≥1% of nuclear tumor staining. HER2 amplification was assayed by FISH (Pathvysion; Abbott Laboratories, Abbott Park, IL). Ki-67 was studied by IHC (MIB1 clone; Dako). The study was approved by the Ethics Committees of the three hospitals. Three hundred and seventy-one infiltrating carcinomas were collected (</w:t>
      </w:r>
      <w:r>
        <w:rPr>
          <w:lang w:val="en-US"/>
        </w:rPr>
        <w:t xml:space="preserve">Supplemental </w:t>
      </w:r>
      <w:r w:rsidRPr="00927A8C">
        <w:rPr>
          <w:lang w:val="en-US"/>
        </w:rPr>
        <w:t xml:space="preserve">Tables </w:t>
      </w:r>
      <w:r>
        <w:rPr>
          <w:lang w:val="en-US"/>
        </w:rPr>
        <w:t>S</w:t>
      </w:r>
      <w:r w:rsidRPr="00927A8C">
        <w:rPr>
          <w:lang w:val="en-US"/>
        </w:rPr>
        <w:t xml:space="preserve">1 and </w:t>
      </w:r>
      <w:r>
        <w:rPr>
          <w:lang w:val="en-US"/>
        </w:rPr>
        <w:t>S</w:t>
      </w:r>
      <w:r w:rsidRPr="00927A8C">
        <w:rPr>
          <w:lang w:val="en-US"/>
        </w:rPr>
        <w:t>2). Tissue microarrays (TMA) were constructed as previously reported. Complete sections of infiltrating carcinoma (</w:t>
      </w:r>
      <w:r w:rsidRPr="00EF365E">
        <w:rPr>
          <w:i/>
          <w:lang w:val="en-US"/>
        </w:rPr>
        <w:t>n</w:t>
      </w:r>
      <w:r w:rsidRPr="00927A8C">
        <w:rPr>
          <w:lang w:val="en-US"/>
        </w:rPr>
        <w:t xml:space="preserve"> = 30) from the same specimens were also assayed. </w:t>
      </w:r>
    </w:p>
    <w:p w:rsidR="00601A2B" w:rsidRPr="00927A8C" w:rsidRDefault="00601A2B" w:rsidP="00601A2B">
      <w:pPr>
        <w:spacing w:line="480" w:lineRule="auto"/>
        <w:rPr>
          <w:lang w:val="en-US"/>
        </w:rPr>
      </w:pPr>
      <w:r w:rsidRPr="00927A8C">
        <w:rPr>
          <w:lang w:val="en-US"/>
        </w:rPr>
        <w:t xml:space="preserve">Immunostaining for Snail1 was carried out using 3 </w:t>
      </w:r>
      <w:r w:rsidRPr="00927A8C">
        <w:rPr>
          <w:lang w:val="en-US"/>
        </w:rPr>
        <w:sym w:font="Symbol" w:char="F06D"/>
      </w:r>
      <w:r w:rsidRPr="00927A8C">
        <w:rPr>
          <w:lang w:val="en-US"/>
        </w:rPr>
        <w:t xml:space="preserve">m sections. Briefly, heat antigen retrieval was carried out in pH 9 EDTA-based buffered solution in a Dako Link </w:t>
      </w:r>
      <w:r w:rsidRPr="00927A8C">
        <w:rPr>
          <w:lang w:val="en-US"/>
        </w:rPr>
        <w:lastRenderedPageBreak/>
        <w:t xml:space="preserve">platform. Endogenous peroxidase was quenched. A mouse monoclonal anti-Snail1 antibody </w:t>
      </w:r>
      <w:r w:rsidRPr="00927A8C">
        <w:rPr>
          <w:lang w:val="en-US"/>
        </w:rPr>
        <w:fldChar w:fldCharType="begin" w:fldLock="1"/>
      </w:r>
      <w:r w:rsidR="00490695">
        <w:rPr>
          <w:lang w:val="en-US"/>
        </w:rPr>
        <w:instrText>ADDIN CSL_CITATION { "citationItems" : [ { "id" : "ITEM-1", "itemData" : { "DOI" : "10.1038/sj.onc.1209519", "ISSN" : "0950-9232", "PMID" : "16568079", "abstract" : "The product of Snail gene is a repressor of E-cadherin transcription and an inductor of the epithelial-to-mesenchymal transition in several epithelial tumor cell lines. In order to examine Snail expression in animal and human tissues, we have raised a monoclonal antibody (MAb) that reacts with the regulatory domain of this protein. Analysis of murine embryos shows that Snail is expressed in extraembryonic tissues and embryonic mesoderm, in mesenchymal cells of lungs and dermis as well as in cartilage. Little reactivity was detected in adult tissues as Snail was not constitutively expressed in most mesenchymal cells. However, Snail expression was observed in activated fibroblasts involved in wound healing in mice skin. Moreover, Snail was detected in pathological conditions causing hyperstimulation of fibroblasts, such as fibromatosis. Analysis of Snail expression in tumors revealed that it was highly expressed in sarcomas and fibrosarcomas. In epithelial tumors, it presented a more limited distribution, restricted to stromal cells placed in the vicinity of the tumor and to tumoral cells in the same areas. These results demonstrate that Snail is present in activated mesenchymal cells, indicate its relevance in the communication between tumor and stroma and suggest that it can promote the conversion of carcinoma cells to stromal cells.", "author" : [ { "dropping-particle" : "", "family" : "Franc\u00ed", "given" : "C", "non-dropping-particle" : "", "parse-names" : false, "suffix" : "" }, { "dropping-particle" : "", "family" : "Takkunen", "given" : "M", "non-dropping-particle" : "", "parse-names" : false, "suffix" : "" }, { "dropping-particle" : "", "family" : "Dave", "given" : "N", "non-dropping-particle" : "", "parse-names" : false, "suffix" : "" }, { "dropping-particle" : "", "family" : "Alameda", "given" : "F", "non-dropping-particle" : "", "parse-names" : false, "suffix" : "" }, { "dropping-particle" : "", "family" : "G\u00f3mez", "given" : "S", "non-dropping-particle" : "", "parse-names" : false, "suffix" : "" }, { "dropping-particle" : "", "family" : "Rodr\u00edguez", "given" : "R", "non-dropping-particle" : "", "parse-names" : false, "suffix" : "" }, { "dropping-particle" : "", "family" : "Escriv\u00e0", "given" : "M", "non-dropping-particle" : "", "parse-names" : false, "suffix" : "" }, { "dropping-particle" : "", "family" : "Montserrat-Sent\u00eds", "given" : "B", "non-dropping-particle" : "", "parse-names" : false, "suffix" : "" }, { "dropping-particle" : "", "family" : "Bar\u00f3", "given" : "T", "non-dropping-particle" : "", "parse-names" : false, "suffix" : "" }, { "dropping-particle" : "", "family" : "Garrido", "given" : "M", "non-dropping-particle" : "", "parse-names" : false, "suffix" : "" }, { "dropping-particle" : "", "family" : "Bonilla", "given" : "F", "non-dropping-particle" : "", "parse-names" : false, "suffix" : "" }, { "dropping-particle" : "", "family" : "Virtanen", "given" : "I", "non-dropping-particle" : "", "parse-names" : false, "suffix" : "" }, { "dropping-particle" : "", "family" : "Garc\u00eda de Herreros", "given" : "a", "non-dropping-particle" : "", "parse-names" : false, "suffix" : "" } ], "container-title" : "Oncogene", "id" : "ITEM-1", "issue" : "37", "issued" : { "date-parts" : [ [ "2006", "8", "24" ] ] }, "page" : "5134-44", "title" : "Expression of Snail protein in tumor-stroma interface.", "type" : "article-journal", "volume" : "25" }, "uris" : [ "http://www.mendeley.com/documents/?uuid=2a5b19fa-0fbe-48f1-98ff-17cf698c86a9" ] } ], "mendeley" : { "previouslyFormattedCitation" : "(4)" }, "properties" : { "noteIndex" : 0 }, "schema" : "https://github.com/citation-style-language/schema/raw/master/csl-citation.json" }</w:instrText>
      </w:r>
      <w:r w:rsidRPr="00927A8C">
        <w:rPr>
          <w:lang w:val="en-US"/>
        </w:rPr>
        <w:fldChar w:fldCharType="separate"/>
      </w:r>
      <w:r w:rsidRPr="00601A2B">
        <w:rPr>
          <w:noProof/>
          <w:lang w:val="en-US"/>
        </w:rPr>
        <w:t>(4)</w:t>
      </w:r>
      <w:r w:rsidRPr="00927A8C">
        <w:rPr>
          <w:lang w:val="en-US"/>
        </w:rPr>
        <w:fldChar w:fldCharType="end"/>
      </w:r>
      <w:r w:rsidRPr="00927A8C">
        <w:rPr>
          <w:lang w:val="en-US"/>
        </w:rPr>
        <w:t xml:space="preserve"> was used for 60 </w:t>
      </w:r>
      <w:r>
        <w:rPr>
          <w:lang w:val="en-US"/>
        </w:rPr>
        <w:t>minutes</w:t>
      </w:r>
      <w:r w:rsidRPr="00927A8C">
        <w:rPr>
          <w:lang w:val="en-US"/>
        </w:rPr>
        <w:t xml:space="preserve"> with a1:10 dilution at room temperature, followed by incubation with a polymer coupled with peroxidase (Flex+; Dako). Sections were then visualized with 3,3'-diaminobenzidine (DAB) and counterstained with hematoxylin. Human tumors with previously-confirmed Snail1 expression were used as positive controls. Sections incubated with normal mouse immunoglobulin G2 were used as controls.</w:t>
      </w:r>
    </w:p>
    <w:p w:rsidR="00601A2B" w:rsidRPr="00927A8C" w:rsidRDefault="00601A2B" w:rsidP="00601A2B">
      <w:pPr>
        <w:spacing w:line="480" w:lineRule="auto"/>
        <w:rPr>
          <w:lang w:val="en-US"/>
        </w:rPr>
      </w:pPr>
    </w:p>
    <w:p w:rsidR="00601A2B" w:rsidRPr="00927A8C" w:rsidRDefault="00601A2B" w:rsidP="00601A2B">
      <w:pPr>
        <w:spacing w:line="480" w:lineRule="auto"/>
        <w:rPr>
          <w:lang w:val="en-US"/>
        </w:rPr>
      </w:pPr>
      <w:r w:rsidRPr="00927A8C">
        <w:rPr>
          <w:lang w:val="en-US"/>
        </w:rPr>
        <w:t xml:space="preserve">Double immunofluorescence for Snail1 and fibronectin were further assayed on selected set of 30 tumors (15 with Snail1 positive and 15 negative stroma) by multispectral analysis (Cri Nuance FX Multispectral Imaging System, Perkin-Elmer, Waltham, MA) for Snail1 and fibronectin </w:t>
      </w:r>
      <w:r w:rsidRPr="00927A8C">
        <w:rPr>
          <w:lang w:val="en-US"/>
        </w:rPr>
        <w:fldChar w:fldCharType="begin" w:fldLock="1"/>
      </w:r>
      <w:r w:rsidR="00490695">
        <w:rPr>
          <w:lang w:val="en-US"/>
        </w:rPr>
        <w:instrText>ADDIN CSL_CITATION { "citationItems" : [ { "id" : "ITEM-1", "itemData" : { "DOI" : "10.1038/ncb1905", "ISSN" : "1476-4679", "PMID" : "19597490", "abstract" : "Epithelial-mesenchymal transition (EMT) is essential for organogenesis and is triggered during carcinoma progression to an invasive state. Transforming growth factor-beta (TGF-beta) cooperates with signalling pathways, such as Ras and Wnt, to induce EMT, but the molecular mechanisms are not clear. Here, we report that SMAD3 and SMAD4 interact and form a complex with SNAIL1, a transcriptional repressor and promoter of EMT. The SNAIL1-SMAD3/4 complex was targeted to the gene promoters of CAR, a tight-junction protein, and E-cadherin during TGF-beta-driven EMT in breast epithelial cells. SNAIL1 and SMAD3/4 acted as co-repressors of CAR, occludin, claudin-3 and E-cadherin promoters in transfected cells. Conversely, co-silencing of SNAIL1 and SMAD4 by siRNA inhibited repression of CAR and occludin during EMT. Moreover, loss of CAR and E-cadherin correlated with nuclear co-expression of SNAIL1 and SMAD3/4 in a mouse model of breast carcinoma and at the invasive fronts of human breast cancer. We propose that activation of a SNAIL1-SMAD3/4 transcriptional complex represents a mechanism of gene repression during EMT.", "author" : [ { "dropping-particle" : "", "family" : "Vincent", "given" : "Theresa", "non-dropping-particle" : "", "parse-names" : false, "suffix" : "" }, { "dropping-particle" : "", "family" : "Neve", "given" : "Etienne P A", "non-dropping-particle" : "", "parse-names" : false, "suffix" : "" }, { "dropping-particle" : "", "family" : "Johnson", "given" : "Jill R", "non-dropping-particle" : "", "parse-names" : false, "suffix" : "" }, { "dropping-particle" : "", "family" : "Kukalev", "given" : "Alexander", "non-dropping-particle" : "", "parse-names" : false, "suffix" : "" }, { "dropping-particle" : "", "family" : "Rojo", "given" : "Federico", "non-dropping-particle" : "", "parse-names" : false, "suffix" : "" }, { "dropping-particle" : "", "family" : "Albanell", "given" : "Joan", "non-dropping-particle" : "", "parse-names" : false, "suffix" : "" }, { "dropping-particle" : "", "family" : "Pietras", "given" : "Kristian", "non-dropping-particle" : "", "parse-names" : false, "suffix" : "" }, { "dropping-particle" : "", "family" : "Virtanen", "given" : "Ismo", "non-dropping-particle" : "", "parse-names" : false, "suffix" : "" }, { "dropping-particle" : "", "family" : "Philipson", "given" : "Lennart", "non-dropping-particle" : "", "parse-names" : false, "suffix" : "" }, { "dropping-particle" : "", "family" : "Leopold", "given" : "Philip L", "non-dropping-particle" : "", "parse-names" : false, "suffix" : "" }, { "dropping-particle" : "", "family" : "Crystal", "given" : "Ronald G", "non-dropping-particle" : "", "parse-names" : false, "suffix" : "" }, { "dropping-particle" : "", "family" : "Herreros", "given" : "Antonio Garcia", "non-dropping-particle" : "de", "parse-names" : false, "suffix" : "" }, { "dropping-particle" : "", "family" : "Moustakas", "given" : "Aristidis", "non-dropping-particle" : "", "parse-names" : false, "suffix" : "" }, { "dropping-particle" : "", "family" : "Pettersson", "given" : "Ralf F", "non-dropping-particle" : "", "parse-names" : false, "suffix" : "" }, { "dropping-particle" : "", "family" : "Fuxe", "given" : "Jonas", "non-dropping-particle" : "", "parse-names" : false, "suffix" : "" } ], "container-title" : "Nature cell biology", "id" : "ITEM-1", "issue" : "8", "issued" : { "date-parts" : [ [ "2009", "8" ] ] }, "page" : "943-50", "title" : "A SNAIL1-SMAD3/4 transcriptional repressor complex promotes TGF-beta mediated epithelial-mesenchymal transition.", "type" : "article-journal", "volume" : "11" }, "uris" : [ "http://www.mendeley.com/documents/?uuid=eb8aee7b-2c67-4cc2-b014-1c85ed72ba95" ] } ], "mendeley" : { "previouslyFormattedCitation" : "(5)" }, "properties" : { "noteIndex" : 0 }, "schema" : "https://github.com/citation-style-language/schema/raw/master/csl-citation.json" }</w:instrText>
      </w:r>
      <w:r w:rsidRPr="00927A8C">
        <w:rPr>
          <w:lang w:val="en-US"/>
        </w:rPr>
        <w:fldChar w:fldCharType="separate"/>
      </w:r>
      <w:r w:rsidRPr="00601A2B">
        <w:rPr>
          <w:noProof/>
          <w:lang w:val="en-US"/>
        </w:rPr>
        <w:t>(5)</w:t>
      </w:r>
      <w:r w:rsidRPr="00927A8C">
        <w:rPr>
          <w:lang w:val="en-US"/>
        </w:rPr>
        <w:fldChar w:fldCharType="end"/>
      </w:r>
      <w:r w:rsidRPr="00927A8C">
        <w:rPr>
          <w:lang w:val="en-US"/>
        </w:rPr>
        <w:t xml:space="preserve">, and second harmonic generation for collagen fibers </w:t>
      </w:r>
      <w:r w:rsidRPr="00927A8C">
        <w:rPr>
          <w:lang w:val="en-US"/>
        </w:rPr>
        <w:fldChar w:fldCharType="begin" w:fldLock="1"/>
      </w:r>
      <w:r w:rsidR="00490695">
        <w:rPr>
          <w:lang w:val="en-US"/>
        </w:rPr>
        <w:instrText>ADDIN CSL_CITATION { "citationItems" : [ { "id" : "ITEM-1", "itemData" : { "abstract" : "Evidence for the potent influence of stromal organization and function on invasion and metastasis of breast tumors is ever growing. We have performed a rigorous examination of the relationship of a tumor-associated collagen signature-3 (TACS-3) to the long-term survival rate of human patients. TACS-3 is characterized by bundles of straightened and aligned collagen fibers that are oriented perpendicular to the tumor boundary. An evaluation of TACS-3 was performed in biopsied tissue sections from 196 patients by second harmonic generation imaging of the backscattered signal generated by collagen. Univariate analysis of a Cox proportional hazard model demonstrated that the presence of TACS-3 was associated with poor disease-specific and disease-free survival, resulting in hazard ratios between 3.0 and 3.9. Furthermore, TACS-3 was confirmed to be an independent prognostic indicator regardless of tumor grade and size, estrogen or progesterone receptor status, human epidermal growth factor receptor-2 status, node status, and tumor subtype. Interestingly, TACS-3 was positively correlated to expression of stromal syndecan-1, a receptor for several extracellular matrix proteins including collagens. Because of the strong statistical evidence for poor survival in patients with TACS, and because the assessment can be performed in routine histopathological samples imaged via second harmonic generation or using picrosirius, we propose that quantifying collagen alignment is a viable, novel paradigm for the prediction of human breast cancer survival.", "author" : [ { "dropping-particle" : "", "family" : "Conklin", "given" : "Matthew W.", "non-dropping-particle" : "", "parse-names" : false, "suffix" : "" }, { "dropping-particle" : "", "family" : "Eickhoff", "given" : "Jens C.", "non-dropping-particle" : "", "parse-names" : false, "suffix" : "" }, { "dropping-particle" : "", "family" : "Riching", "given" : "Kristin M.", "non-dropping-particle" : "", "parse-names" : false, "suffix" : "" }, { "dropping-particle" : "", "family" : "Pehlke", "given" : "Carolyn A.", "non-dropping-particle" : "", "parse-names" : false, "suffix" : "" }, { "dropping-particle" : "", "family" : "Eliceiri", "given" : "Kevin W.", "non-dropping-particle" : "", "parse-names" : false, "suffix" : "" }, { "dropping-particle" : "", "family" : "Provenzano", "given" : "Paolo P.", "non-dropping-particle" : "", "parse-names" : false, "suffix" : "" }, { "dropping-particle" : "", "family" : "Friedl", "given" : "Andreas", "non-dropping-particle" : "", "parse-names" : false, "suffix" : "" }, { "dropping-particle" : "", "family" : "Keely", "given" : "Patricia J.", "non-dropping-particle" : "", "parse-names" : false, "suffix" : "" } ], "container-title" : "The American Journal of Pathology", "id" : "ITEM-1", "issue" : "3", "issued" : { "date-parts" : [ [ "2011" ] ] }, "page" : "1221-1232", "title" : "Aligned Collagen Is a Prognostic Signature for Survival in Human Breast Carcinoma", "type" : "article-journal", "volume" : "178" }, "uris" : [ "http://www.mendeley.com/documents/?uuid=db1b4540-109a-4ad4-a8e8-72965e061a09" ] } ], "mendeley" : { "previouslyFormattedCitation" : "(6)" }, "properties" : { "noteIndex" : 0 }, "schema" : "https://github.com/citation-style-language/schema/raw/master/csl-citation.json" }</w:instrText>
      </w:r>
      <w:r w:rsidRPr="00927A8C">
        <w:rPr>
          <w:lang w:val="en-US"/>
        </w:rPr>
        <w:fldChar w:fldCharType="separate"/>
      </w:r>
      <w:r w:rsidRPr="00601A2B">
        <w:rPr>
          <w:noProof/>
          <w:lang w:val="en-US"/>
        </w:rPr>
        <w:t>(6)</w:t>
      </w:r>
      <w:r w:rsidRPr="00927A8C">
        <w:rPr>
          <w:lang w:val="en-US"/>
        </w:rPr>
        <w:fldChar w:fldCharType="end"/>
      </w:r>
      <w:r>
        <w:rPr>
          <w:lang w:val="en-US"/>
        </w:rPr>
        <w:t>.</w:t>
      </w:r>
    </w:p>
    <w:p w:rsidR="00601A2B" w:rsidRPr="00927A8C" w:rsidRDefault="00601A2B" w:rsidP="00601A2B">
      <w:pPr>
        <w:spacing w:line="480" w:lineRule="auto"/>
        <w:rPr>
          <w:lang w:val="en-US"/>
        </w:rPr>
      </w:pPr>
      <w:r w:rsidRPr="00927A8C">
        <w:rPr>
          <w:lang w:val="en-US"/>
        </w:rPr>
        <w:t>Snail1 and fibronectin (rabbit polyclonal, diluted 1:200, Dako) were detected using appropriate Alexa Fluor 568 and 488 conjugated goat anti-rabbit IgG and anti-mouse IgG antibodies (Life Technologies, Paisley, UK) (diluted 1:700). Sections were counterstained with 4',6-diamidino-2-phenylindole dihydrochloride (DAPI; Abbott Molecular, Des Plaines, IL) to visualize cell nuclei. All incubations were performed at room temperature using a Dako Autostainer. Snail1 was scored when any percentage of stromal or epithelial cells was stained in the nucleus. Second harmonic generation analysis were carried out in the Advanced Light Microscopy Unit of the CRG (Centre of Genomic Research) at PRBB (Barcelona Biomedical Research Park). Fibronectin and collagen fibers alignment were considered positive when lineal fibers in desmoplastic stromal areas were found to align perpendicular to the tumor mass.</w:t>
      </w:r>
    </w:p>
    <w:p w:rsidR="00601A2B" w:rsidRDefault="00601A2B" w:rsidP="00601A2B">
      <w:pPr>
        <w:spacing w:line="480" w:lineRule="auto"/>
        <w:rPr>
          <w:lang w:val="en-US"/>
        </w:rPr>
      </w:pPr>
      <w:r w:rsidRPr="00927A8C">
        <w:rPr>
          <w:lang w:val="en-US"/>
        </w:rPr>
        <w:t xml:space="preserve">Statistical analysis was carried out with SPSS v13.0 (SPSS-IBM, Armonk, NY). To correlate Snail1 expression and clinicopathological variables, we used the Χ2 test </w:t>
      </w:r>
      <w:r w:rsidRPr="00927A8C">
        <w:rPr>
          <w:lang w:val="en-US"/>
        </w:rPr>
        <w:lastRenderedPageBreak/>
        <w:t>(Fisher’s exact test). OS was defined as the time from the date of surgery to the date of death from any cause or</w:t>
      </w:r>
      <w:r>
        <w:rPr>
          <w:lang w:val="en-US"/>
        </w:rPr>
        <w:t xml:space="preserve"> the</w:t>
      </w:r>
      <w:r w:rsidRPr="00927A8C">
        <w:rPr>
          <w:lang w:val="en-US"/>
        </w:rPr>
        <w:t xml:space="preserve"> last follow-up. Univariate analysis was based on the Kaplan–Meier OS curves using the log-rank test; all predictors with </w:t>
      </w:r>
      <w:r w:rsidRPr="003E7E56">
        <w:rPr>
          <w:i/>
          <w:lang w:val="en-US"/>
        </w:rPr>
        <w:t>P</w:t>
      </w:r>
      <w:r w:rsidRPr="00927A8C">
        <w:rPr>
          <w:lang w:val="en-US"/>
        </w:rPr>
        <w:t xml:space="preserve"> &lt;</w:t>
      </w:r>
      <w:r>
        <w:rPr>
          <w:lang w:val="en-US"/>
        </w:rPr>
        <w:t xml:space="preserve"> </w:t>
      </w:r>
      <w:r w:rsidRPr="00927A8C">
        <w:rPr>
          <w:lang w:val="en-US"/>
        </w:rPr>
        <w:t xml:space="preserve">0.05 were used in multivariate analysis using the Cox proportional hazards model. All the statistical tests were conducted at the two-sided 0.05 level. This work was carried out in accordance with Reporting Recommendations for Tumor Marker Prognostic Studies (REMARK) guideline </w:t>
      </w:r>
      <w:r w:rsidRPr="00927A8C">
        <w:rPr>
          <w:lang w:val="en-US"/>
        </w:rPr>
        <w:fldChar w:fldCharType="begin" w:fldLock="1"/>
      </w:r>
      <w:r w:rsidR="00490695">
        <w:rPr>
          <w:lang w:val="en-US"/>
        </w:rPr>
        <w:instrText>ADDIN CSL_CITATION { "citationItems" : [ { "id" : "ITEM-1", "itemData" : { "DOI" : "10.1200/JCO.2004.01.0454", "ISSN" : "0732-183X", "PMID" : "16172462", "author" : [ { "dropping-particle" : "", "family" : "McShane", "given" : "Lisa M", "non-dropping-particle" : "", "parse-names" : false, "suffix" : "" }, { "dropping-particle" : "", "family" : "Altman", "given" : "Douglas G", "non-dropping-particle" : "", "parse-names" : false, "suffix" : "" }, { "dropping-particle" : "", "family" : "Sauerbrei", "given" : "Willi", "non-dropping-particle" : "", "parse-names" : false, "suffix" : "" }, { "dropping-particle" : "", "family" : "Taube", "given" : "Sheila E", "non-dropping-particle" : "", "parse-names" : false, "suffix" : "" }, { "dropping-particle" : "", "family" : "Gion", "given" : "Massimo", "non-dropping-particle" : "", "parse-names" : false, "suffix" : "" }, { "dropping-particle" : "", "family" : "Clark", "given" : "Gary M", "non-dropping-particle" : "", "parse-names" : false, "suffix" : "" } ], "container-title" : "Journal of clinical oncology : official journal of the American Society of Clinical Oncology", "id" : "ITEM-1", "issue" : "36", "issued" : { "date-parts" : [ [ "2005", "12", "20" ] ] }, "page" : "9067-72", "title" : "Reporting recommendations for tumor marker prognostic studies.", "type" : "article-journal", "volume" : "23" }, "uris" : [ "http://www.mendeley.com/documents/?uuid=9ae41289-7790-4f41-97f8-6d4656226170" ] } ], "mendeley" : { "previouslyFormattedCitation" : "(7)" }, "properties" : { "noteIndex" : 0 }, "schema" : "https://github.com/citation-style-language/schema/raw/master/csl-citation.json" }</w:instrText>
      </w:r>
      <w:r w:rsidRPr="00927A8C">
        <w:rPr>
          <w:lang w:val="en-US"/>
        </w:rPr>
        <w:fldChar w:fldCharType="separate"/>
      </w:r>
      <w:r w:rsidRPr="00601A2B">
        <w:rPr>
          <w:noProof/>
          <w:lang w:val="en-US"/>
        </w:rPr>
        <w:t>(7)</w:t>
      </w:r>
      <w:r w:rsidRPr="00927A8C">
        <w:rPr>
          <w:lang w:val="en-US"/>
        </w:rPr>
        <w:fldChar w:fldCharType="end"/>
      </w:r>
      <w:r w:rsidRPr="00927A8C">
        <w:rPr>
          <w:lang w:val="en-US"/>
        </w:rPr>
        <w:t>.</w:t>
      </w:r>
    </w:p>
    <w:p w:rsidR="00601A2B" w:rsidRDefault="00601A2B">
      <w:pPr>
        <w:spacing w:after="200" w:line="276" w:lineRule="auto"/>
        <w:rPr>
          <w:lang w:val="en-US"/>
        </w:rPr>
      </w:pPr>
      <w:r>
        <w:rPr>
          <w:lang w:val="en-US"/>
        </w:rPr>
        <w:br w:type="page"/>
      </w:r>
    </w:p>
    <w:p w:rsidR="00601A2B" w:rsidRDefault="00601A2B" w:rsidP="00601A2B">
      <w:pPr>
        <w:spacing w:line="480" w:lineRule="auto"/>
        <w:rPr>
          <w:lang w:val="en-US"/>
        </w:rPr>
      </w:pPr>
      <w:r>
        <w:rPr>
          <w:lang w:val="en-US"/>
        </w:rPr>
        <w:lastRenderedPageBreak/>
        <w:t>References</w:t>
      </w:r>
    </w:p>
    <w:p w:rsidR="00490695" w:rsidRPr="00276E4E" w:rsidRDefault="00601A2B">
      <w:pPr>
        <w:pStyle w:val="NormalWeb"/>
        <w:ind w:left="640" w:hanging="640"/>
        <w:divId w:val="1942298327"/>
        <w:rPr>
          <w:noProof/>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490695" w:rsidRPr="00276E4E">
        <w:rPr>
          <w:noProof/>
          <w:lang w:val="en-US"/>
        </w:rPr>
        <w:t xml:space="preserve">1. </w:t>
      </w:r>
      <w:r w:rsidR="00490695" w:rsidRPr="00276E4E">
        <w:rPr>
          <w:noProof/>
          <w:lang w:val="en-US"/>
        </w:rPr>
        <w:tab/>
        <w:t>Beacham DA, Amatangelo MD, Cukierman E. Preparation of extracellular matrices produced by cultured and primary fibroblasts. Curr Protoc Cell Biol [Internet]. 2007 [cited 2014 Jan 27];Chapter 10:Unit 10.9. Available from: http://www.ncbi.nlm.nih.gov/pubmed/18228495</w:t>
      </w:r>
    </w:p>
    <w:p w:rsidR="00490695" w:rsidRPr="00276E4E" w:rsidRDefault="00490695">
      <w:pPr>
        <w:pStyle w:val="NormalWeb"/>
        <w:ind w:left="640" w:hanging="640"/>
        <w:divId w:val="1942298327"/>
        <w:rPr>
          <w:noProof/>
          <w:lang w:val="en-US"/>
        </w:rPr>
      </w:pPr>
      <w:r w:rsidRPr="00490695">
        <w:rPr>
          <w:noProof/>
        </w:rPr>
        <w:t xml:space="preserve">2. </w:t>
      </w:r>
      <w:r w:rsidRPr="00490695">
        <w:rPr>
          <w:noProof/>
        </w:rPr>
        <w:tab/>
        <w:t xml:space="preserve">Alcaraz J, Buscemi L, Grabulosa M, Trepat X, Fabry B, Farré R, et al. </w:t>
      </w:r>
      <w:r w:rsidRPr="00276E4E">
        <w:rPr>
          <w:noProof/>
          <w:lang w:val="en-US"/>
        </w:rPr>
        <w:t>Microrheology of human lung epithelial cells measured by atomic force microscopy. Biophys J [Internet]. 2003 [cited 2014 Jan 27];84:2071–9. Available from: http://www.pubmedcentral.nih.gov/articlerender.fcgi?artid=1302775&amp;tool=pmcentrez&amp;rendertype=abstract</w:t>
      </w:r>
    </w:p>
    <w:p w:rsidR="00490695" w:rsidRPr="00276E4E" w:rsidRDefault="00490695">
      <w:pPr>
        <w:pStyle w:val="NormalWeb"/>
        <w:ind w:left="640" w:hanging="640"/>
        <w:divId w:val="1942298327"/>
        <w:rPr>
          <w:noProof/>
          <w:lang w:val="en-US"/>
        </w:rPr>
      </w:pPr>
      <w:r w:rsidRPr="00490695">
        <w:rPr>
          <w:noProof/>
        </w:rPr>
        <w:t xml:space="preserve">3. </w:t>
      </w:r>
      <w:r w:rsidRPr="00490695">
        <w:rPr>
          <w:noProof/>
        </w:rPr>
        <w:tab/>
        <w:t xml:space="preserve">Marí-Buyé N, Luque T, Navajas D, Semino CE. </w:t>
      </w:r>
      <w:r w:rsidRPr="00276E4E">
        <w:rPr>
          <w:noProof/>
          <w:lang w:val="en-US"/>
        </w:rPr>
        <w:t>Development of a three-dimensional bone-like construct in a soft self-assembling peptide matrix. Tissue Eng Part A [Internet]. 2013 [cited 2014 Jan 27];19:870–81. Available from: http://www.ncbi.nlm.nih.gov/pubmed/23157379</w:t>
      </w:r>
    </w:p>
    <w:p w:rsidR="00490695" w:rsidRPr="00276E4E" w:rsidRDefault="00490695">
      <w:pPr>
        <w:pStyle w:val="NormalWeb"/>
        <w:ind w:left="640" w:hanging="640"/>
        <w:divId w:val="1942298327"/>
        <w:rPr>
          <w:noProof/>
          <w:lang w:val="en-US"/>
        </w:rPr>
      </w:pPr>
      <w:r w:rsidRPr="00490695">
        <w:rPr>
          <w:noProof/>
        </w:rPr>
        <w:t xml:space="preserve">4. </w:t>
      </w:r>
      <w:r w:rsidRPr="00490695">
        <w:rPr>
          <w:noProof/>
        </w:rPr>
        <w:tab/>
        <w:t xml:space="preserve">Francí C, Takkunen M, Dave N, Alameda F, Gómez S, Rodríguez R, et al. </w:t>
      </w:r>
      <w:r w:rsidRPr="00276E4E">
        <w:rPr>
          <w:noProof/>
          <w:lang w:val="en-US"/>
        </w:rPr>
        <w:t>Expression of Snail protein in tumor-stroma interface. Oncogene [Internet]. 2006 [cited 2013 Oct 21];25:5134–44. Available from: http://www.ncbi.nlm.nih.gov/pubmed/16568079</w:t>
      </w:r>
    </w:p>
    <w:p w:rsidR="00490695" w:rsidRPr="00276E4E" w:rsidRDefault="00490695">
      <w:pPr>
        <w:pStyle w:val="NormalWeb"/>
        <w:ind w:left="640" w:hanging="640"/>
        <w:divId w:val="1942298327"/>
        <w:rPr>
          <w:noProof/>
          <w:lang w:val="en-US"/>
        </w:rPr>
      </w:pPr>
      <w:r w:rsidRPr="00276E4E">
        <w:rPr>
          <w:noProof/>
          <w:lang w:val="en-US"/>
        </w:rPr>
        <w:t xml:space="preserve">5. </w:t>
      </w:r>
      <w:r w:rsidRPr="00276E4E">
        <w:rPr>
          <w:noProof/>
          <w:lang w:val="en-US"/>
        </w:rPr>
        <w:tab/>
        <w:t>Vincent T, Neve EPA, Johnson JR, Kukalev A, Rojo F, Albanell J, et al. A SNAIL1-SMAD3/4 transcriptional repressor complex promotes TGF-beta mediated epithelial-mesenchymal transition. Nat Cell Biol [Internet]. 2009 [cited 2014 Jan 22];11:943–50. Available from: http://www.pubmedcentral.nih.gov/articlerender.fcgi?artid=3769970&amp;tool=pmcentrez&amp;rendertype=abstract</w:t>
      </w:r>
    </w:p>
    <w:p w:rsidR="00490695" w:rsidRPr="00276E4E" w:rsidRDefault="00490695">
      <w:pPr>
        <w:pStyle w:val="NormalWeb"/>
        <w:ind w:left="640" w:hanging="640"/>
        <w:divId w:val="1942298327"/>
        <w:rPr>
          <w:noProof/>
          <w:lang w:val="en-US"/>
        </w:rPr>
      </w:pPr>
      <w:r w:rsidRPr="00276E4E">
        <w:rPr>
          <w:noProof/>
          <w:lang w:val="en-US"/>
        </w:rPr>
        <w:t xml:space="preserve">6. </w:t>
      </w:r>
      <w:r w:rsidRPr="00276E4E">
        <w:rPr>
          <w:noProof/>
          <w:lang w:val="en-US"/>
        </w:rPr>
        <w:tab/>
        <w:t>Conklin MW, Eickhoff JC, Riching KM, Pehlke CA, Eliceiri KW, Provenzano PP, et al. Aligned Collagen Is a Prognostic Signature for Survival in Human Breast Carcinoma. Am J Pathol [Internet]. 2011 [cited 2014 Jan 27];178:1221–32. Available from: http://www.sciencedirect.com/science/article/pii/S0002944010002336</w:t>
      </w:r>
    </w:p>
    <w:p w:rsidR="00490695" w:rsidRPr="00276E4E" w:rsidRDefault="00490695">
      <w:pPr>
        <w:pStyle w:val="NormalWeb"/>
        <w:ind w:left="640" w:hanging="640"/>
        <w:divId w:val="1942298327"/>
        <w:rPr>
          <w:noProof/>
          <w:lang w:val="en-US"/>
        </w:rPr>
      </w:pPr>
      <w:r w:rsidRPr="00276E4E">
        <w:rPr>
          <w:noProof/>
          <w:lang w:val="en-US"/>
        </w:rPr>
        <w:t xml:space="preserve">7. </w:t>
      </w:r>
      <w:r w:rsidRPr="00276E4E">
        <w:rPr>
          <w:noProof/>
          <w:lang w:val="en-US"/>
        </w:rPr>
        <w:tab/>
        <w:t xml:space="preserve">McShane LM, Altman DG, Sauerbrei W, Taube SE, Gion M, Clark GM. Reporting recommendations for tumor marker prognostic studies. J Clin Oncol [Internet]. 2005 [cited 2014 Jan 27];23:9067–72. Available from: http://www.ncbi.nlm.nih.gov/pubmed/16172462 </w:t>
      </w:r>
    </w:p>
    <w:p w:rsidR="00601A2B" w:rsidRPr="00927A8C" w:rsidRDefault="00601A2B" w:rsidP="00490695">
      <w:pPr>
        <w:pStyle w:val="NormalWeb"/>
        <w:ind w:left="640" w:hanging="640"/>
        <w:divId w:val="1008173004"/>
        <w:rPr>
          <w:lang w:val="en-US"/>
        </w:rPr>
      </w:pPr>
      <w:r>
        <w:rPr>
          <w:lang w:val="en-US"/>
        </w:rPr>
        <w:fldChar w:fldCharType="end"/>
      </w:r>
    </w:p>
    <w:p w:rsidR="00601A2B" w:rsidRDefault="00601A2B" w:rsidP="00601A2B">
      <w:pPr>
        <w:rPr>
          <w:lang w:val="en-US"/>
        </w:rPr>
      </w:pPr>
    </w:p>
    <w:p w:rsidR="005A3752" w:rsidRPr="00601A2B" w:rsidRDefault="005A3752">
      <w:pPr>
        <w:rPr>
          <w:lang w:val="en-US"/>
        </w:rPr>
      </w:pPr>
    </w:p>
    <w:sectPr w:rsidR="005A3752" w:rsidRPr="00601A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2B"/>
    <w:rsid w:val="00276E4E"/>
    <w:rsid w:val="00490695"/>
    <w:rsid w:val="004F468B"/>
    <w:rsid w:val="005A3752"/>
    <w:rsid w:val="00601A2B"/>
    <w:rsid w:val="00914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1A2B"/>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A2B"/>
    <w:rPr>
      <w:rFonts w:ascii="Tahoma" w:eastAsia="Times New Roman" w:hAnsi="Tahoma" w:cs="Tahoma"/>
      <w:sz w:val="16"/>
      <w:szCs w:val="16"/>
      <w:lang w:eastAsia="es-ES"/>
    </w:rPr>
  </w:style>
  <w:style w:type="paragraph" w:styleId="NormalWeb">
    <w:name w:val="Normal (Web)"/>
    <w:basedOn w:val="Normal"/>
    <w:uiPriority w:val="99"/>
    <w:unhideWhenUsed/>
    <w:rsid w:val="00601A2B"/>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1A2B"/>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A2B"/>
    <w:rPr>
      <w:rFonts w:ascii="Tahoma" w:eastAsia="Times New Roman" w:hAnsi="Tahoma" w:cs="Tahoma"/>
      <w:sz w:val="16"/>
      <w:szCs w:val="16"/>
      <w:lang w:eastAsia="es-ES"/>
    </w:rPr>
  </w:style>
  <w:style w:type="paragraph" w:styleId="NormalWeb">
    <w:name w:val="Normal (Web)"/>
    <w:basedOn w:val="Normal"/>
    <w:uiPriority w:val="99"/>
    <w:unhideWhenUsed/>
    <w:rsid w:val="00601A2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1186">
      <w:bodyDiv w:val="1"/>
      <w:marLeft w:val="0"/>
      <w:marRight w:val="0"/>
      <w:marTop w:val="0"/>
      <w:marBottom w:val="0"/>
      <w:divBdr>
        <w:top w:val="none" w:sz="0" w:space="0" w:color="auto"/>
        <w:left w:val="none" w:sz="0" w:space="0" w:color="auto"/>
        <w:bottom w:val="none" w:sz="0" w:space="0" w:color="auto"/>
        <w:right w:val="none" w:sz="0" w:space="0" w:color="auto"/>
      </w:divBdr>
      <w:divsChild>
        <w:div w:id="1614364763">
          <w:marLeft w:val="0"/>
          <w:marRight w:val="0"/>
          <w:marTop w:val="0"/>
          <w:marBottom w:val="0"/>
          <w:divBdr>
            <w:top w:val="none" w:sz="0" w:space="0" w:color="auto"/>
            <w:left w:val="none" w:sz="0" w:space="0" w:color="auto"/>
            <w:bottom w:val="none" w:sz="0" w:space="0" w:color="auto"/>
            <w:right w:val="none" w:sz="0" w:space="0" w:color="auto"/>
          </w:divBdr>
          <w:divsChild>
            <w:div w:id="1008173004">
              <w:marLeft w:val="0"/>
              <w:marRight w:val="0"/>
              <w:marTop w:val="0"/>
              <w:marBottom w:val="0"/>
              <w:divBdr>
                <w:top w:val="none" w:sz="0" w:space="0" w:color="auto"/>
                <w:left w:val="none" w:sz="0" w:space="0" w:color="auto"/>
                <w:bottom w:val="none" w:sz="0" w:space="0" w:color="auto"/>
                <w:right w:val="none" w:sz="0" w:space="0" w:color="auto"/>
              </w:divBdr>
              <w:divsChild>
                <w:div w:id="1942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C6D6-4C17-4B95-9F81-01F2E7DE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6096</Words>
  <Characters>33530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BAULIDA ESTADELLA, JOSEP</dc:creator>
  <cp:lastModifiedBy>BAULIDA ESTADELLA, JOSEP</cp:lastModifiedBy>
  <cp:revision>2</cp:revision>
  <dcterms:created xsi:type="dcterms:W3CDTF">2015-01-07T15:53:00Z</dcterms:created>
  <dcterms:modified xsi:type="dcterms:W3CDTF">2015-01-07T15:53:00Z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http://www.zotero.org/styles/cancer-discovery</vt:lpwstr>
  </property>
  <property fmtid="{D5CDD505-2E9C-101B-9397-08002B2CF9AE}" pid="3" name="Mendeley Document_1">
    <vt:lpwstr>True</vt:lpwstr>
  </property>
  <property fmtid="{D5CDD505-2E9C-101B-9397-08002B2CF9AE}" pid="4" name="Mendeley User Name_1">
    <vt:lpwstr>jbaulida@imim.es@www.mendeley.com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http://www.zotero.org/styles/cancer-discovery</vt:lpwstr>
  </property>
  <property fmtid="{D5CDD505-2E9C-101B-9397-08002B2CF9AE}" pid="10" name="Mendeley Recent Style Name 2_1">
    <vt:lpwstr>Cancer Discovery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http://www.zotero.org/styles/the-journal-of-experimental-medicine</vt:lpwstr>
  </property>
  <property fmtid="{D5CDD505-2E9C-101B-9397-08002B2CF9AE}" pid="22" name="Mendeley Recent Style Name 8_1">
    <vt:lpwstr>The Journal of Experimental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