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SUPPLEMENTARY MATERIALS AND METHODS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Antibodies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For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immunostaining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immunoblotting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primary antibodies were from Cell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Signaling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unless otherwise stated: ATM S1981 (Rockland), CHK1, CHK1 S317,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CHK1 S345, CHK1 S296, CHK2, CHK2 T68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Abcam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), c-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caspase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3, c-PARP, CDK1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Abcam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), CDK1 Y15, CDK2, CDK2 Y15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Abcam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), H2AX, H2AX S139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Milipore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),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HH3, HH3 S10, RPA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Abcam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), RPA32 S4/8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Bethyl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Laboratories), alpha-tubulin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Abcam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), beta-actin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Abcam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For secondary antibodies, Alexa 488 and Alexa 647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from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Cell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Signaling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were used in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immunostaining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IRDye800CW- and IR680CWconjugated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antibodies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from LI-COR were used in immunoblotting.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Cytotoxicity agent combination assay and synergy calculation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Cells were seeded for 24 hours in 96-well plates and then treated with a serial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dilution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each agent in an 8 X 8 concentration format. After 72 hours, cells were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fixed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with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trichloroacetic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acid and stained with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sulforhodamine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B. Fluorescent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readout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was obtained using the Infinite 200 PRO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microplate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Tecan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 at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excitation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emission wavelengths of 488nm and 585nm, respectively. To quantify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synergy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an in-house integrated software that could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analyze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numerical readout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based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on the Bliss Independence, Loewe or Highest Single Agent models was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employed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(1, 2). First, single-agent inhibition values were used to assign an additive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value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to each concentration ratio. The calculated value was then subtracted from the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measured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values, yielding a difference value. In the final synergy surface, a positive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value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indicates synergistic effects while a negative value indicates antagonistic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effects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. To date, many combination assays use the combination-index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isobologram</w:t>
      </w:r>
      <w:proofErr w:type="spellEnd"/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method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which is based on the median effect principle. This permits only the analysis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fixed dose ratios of the two agents in question. The key feature of the integrated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software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was its flexibility in determining the expected interaction for any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combination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agent concentrations, allowing more exhaustive quantification of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combined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effects from the generation of a 3D interaction surface.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Acquisition, processing and analysis of live-cell time-lapse sequences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Cells were kept in a humidified chamber under cell culture conditions. Images were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taken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on three fields of view per well, every seven minutes over forty-eight hours,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using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 Nikon Eclipse TE2000-E microscope with 10X objective. An equalization of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intensities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over time was then performed to each channel using the NIS-Elements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software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(Nikon). A shading correction and a background subtraction were also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applied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to each image in each channel. Image analysis was carried out using the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TrackMate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plugin available on Fiji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IMageJ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1235FF"/>
          <w:sz w:val="24"/>
          <w:szCs w:val="24"/>
        </w:rPr>
        <w:t>http://fiji.sc/Fiji</w:t>
      </w:r>
      <w:r>
        <w:rPr>
          <w:rFonts w:ascii="ArialMT" w:hAnsi="ArialMT" w:cs="ArialMT"/>
          <w:color w:val="000000"/>
          <w:sz w:val="24"/>
          <w:szCs w:val="24"/>
        </w:rPr>
        <w:t>).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This plugin follows an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operator-defined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scheme, which allows automation of spot segmentation and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particle-tracking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over time. Detection of cells was performed based on the Laplacian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Gaussian filtering, and particle-tracking was achieved frame-to-frame using the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Linear Assignment Problem tracker.</w:t>
      </w:r>
      <w:proofErr w:type="gramEnd"/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Quantitative fluorescence-based microscopy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Cells were immobilized on chambered coverslip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ibidi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) and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immunostained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Images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lastRenderedPageBreak/>
        <w:t>were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acquired using the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iCys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laser scanning cytometer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CompuCyte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 (40X objective)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equipped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with a motorized Olympus IX71 inverted fluorescence microscope, three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lasers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(405nm violet diode laser, 488nm argon laser, 633nm helium-neon laser) and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three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optical filter sets (blue 450/40, green 530/30, far-red 650LP) coupled to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photomultipliers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(PMT). A digital image was created for each PMT on a pixel-to-pixel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basis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and objects from thousands of measurement were identified based on predetermined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signal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thresholds. The in-built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iCys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software was then used to generate a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number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datasets per object such as integral fluorescence and maximal intensity,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well as mean values of these parameters. The advantage of this approach was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that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precise position of every object was recorded alongside corresponding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fluorescence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data, allowing direct visualization of each object and verification on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whether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it was a single cell, a doublet or an artefact. Furthermore, it enabled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simultaneous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assessment of the fluorescence readout with cell cycle profile. An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example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this capability is illustrated in Supplementary Fig. S4C, where RPA32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S4/8-positive cells were found to be predominantly in S-phase.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SUPPLEMENTARY REFERENCES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Lin Y, Richards FM,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Krippendorff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BF,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Bramhall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JL, Harrington JA, Bapiro TE,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al. Paclitaxel and CYC3, an aurora kinase A inhibitor, synergise in pancreatic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cancer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cells but not bone marrow precursor cells.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British journal of cancer.</w:t>
      </w:r>
      <w:proofErr w:type="gramEnd"/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2012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;107:1692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-701.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Fitzgerald JB,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Schoeberl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B, Nielsen UB,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Sorger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PK. Systems biology and</w:t>
      </w:r>
    </w:p>
    <w:p w:rsidR="00DD0F32" w:rsidRDefault="00DD0F32" w:rsidP="00DD0F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combination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therapy in the quest for clinical efficacy.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Nature chemical biology.</w:t>
      </w:r>
      <w:proofErr w:type="gramEnd"/>
    </w:p>
    <w:p w:rsidR="00DD0F32" w:rsidRDefault="00DD0F32" w:rsidP="00DD0F32">
      <w:r>
        <w:rPr>
          <w:rFonts w:ascii="ArialMT" w:hAnsi="ArialMT" w:cs="ArialMT"/>
          <w:color w:val="000000"/>
          <w:sz w:val="24"/>
          <w:szCs w:val="24"/>
        </w:rPr>
        <w:t>2006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;2:458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-66.</w:t>
      </w:r>
    </w:p>
    <w:sectPr w:rsidR="00DD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2"/>
    <w:rsid w:val="000B123B"/>
    <w:rsid w:val="000B39BD"/>
    <w:rsid w:val="004E055D"/>
    <w:rsid w:val="00896698"/>
    <w:rsid w:val="00D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Camridge Research Institute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Richards</dc:creator>
  <cp:lastModifiedBy>Amir Khalili</cp:lastModifiedBy>
  <cp:revision>3</cp:revision>
  <dcterms:created xsi:type="dcterms:W3CDTF">2015-06-29T09:04:00Z</dcterms:created>
  <dcterms:modified xsi:type="dcterms:W3CDTF">2015-06-30T20:07:00Z</dcterms:modified>
</cp:coreProperties>
</file>