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28E1E" w14:textId="77777777" w:rsidR="00116855" w:rsidRPr="00116855" w:rsidRDefault="00116855" w:rsidP="00116855">
      <w:pPr>
        <w:spacing w:after="0" w:line="480" w:lineRule="auto"/>
        <w:jc w:val="both"/>
        <w:rPr>
          <w:rFonts w:ascii="Arial" w:eastAsia="MS Mincho" w:hAnsi="Arial" w:cs="Arial"/>
          <w:b/>
          <w:lang w:val="en-US"/>
        </w:rPr>
      </w:pPr>
      <w:bookmarkStart w:id="0" w:name="_GoBack"/>
      <w:bookmarkEnd w:id="0"/>
      <w:r w:rsidRPr="00116855">
        <w:rPr>
          <w:rFonts w:ascii="Arial" w:eastAsia="MS Mincho" w:hAnsi="Arial" w:cs="Arial"/>
          <w:b/>
          <w:lang w:val="en-US"/>
        </w:rPr>
        <w:t>Supplementary Figure S1</w:t>
      </w:r>
    </w:p>
    <w:p w14:paraId="6CA2CE37" w14:textId="77777777" w:rsidR="00116855" w:rsidRPr="00116855" w:rsidRDefault="00116855" w:rsidP="00116855">
      <w:pPr>
        <w:spacing w:after="0" w:line="480" w:lineRule="auto"/>
        <w:jc w:val="both"/>
        <w:rPr>
          <w:rFonts w:ascii="Arial" w:eastAsia="MS Mincho" w:hAnsi="Arial" w:cs="Arial"/>
          <w:b/>
          <w:lang w:val="en-US"/>
        </w:rPr>
      </w:pPr>
      <w:r w:rsidRPr="00116855">
        <w:rPr>
          <w:rFonts w:ascii="Arial" w:eastAsia="MS Mincho" w:hAnsi="Arial" w:cs="Arial"/>
          <w:lang w:val="en-US"/>
        </w:rPr>
        <w:t xml:space="preserve">Quantitative real-time PCR analysis of the expression of the EMT markers </w:t>
      </w:r>
      <w:r w:rsidRPr="00116855">
        <w:rPr>
          <w:rFonts w:ascii="Arial" w:eastAsia="MS Mincho" w:hAnsi="Arial" w:cs="Arial"/>
          <w:i/>
          <w:lang w:val="en-US"/>
        </w:rPr>
        <w:t>TWIST1</w:t>
      </w:r>
      <w:r w:rsidRPr="00116855">
        <w:rPr>
          <w:rFonts w:ascii="Arial" w:eastAsia="MS Mincho" w:hAnsi="Arial" w:cs="Arial"/>
          <w:lang w:val="en-US"/>
        </w:rPr>
        <w:t xml:space="preserve"> and </w:t>
      </w:r>
      <w:r w:rsidRPr="00116855">
        <w:rPr>
          <w:rFonts w:ascii="Arial" w:eastAsia="MS Mincho" w:hAnsi="Arial" w:cs="Arial"/>
          <w:i/>
          <w:lang w:val="en-US"/>
        </w:rPr>
        <w:t xml:space="preserve">TWIST2 </w:t>
      </w:r>
      <w:r w:rsidRPr="00116855">
        <w:rPr>
          <w:rFonts w:ascii="Arial" w:eastAsia="MS Mincho" w:hAnsi="Arial" w:cs="Arial"/>
          <w:lang w:val="en-US"/>
        </w:rPr>
        <w:t>in ALDH</w:t>
      </w:r>
      <w:r w:rsidRPr="00116855">
        <w:rPr>
          <w:rFonts w:ascii="Arial" w:eastAsia="MS Mincho" w:hAnsi="Arial" w:cs="Arial"/>
          <w:vertAlign w:val="superscript"/>
          <w:lang w:val="en-US"/>
        </w:rPr>
        <w:t>HI</w:t>
      </w:r>
      <w:r w:rsidRPr="00116855">
        <w:rPr>
          <w:rFonts w:ascii="Arial" w:eastAsia="MS Mincho" w:hAnsi="Arial" w:cs="Arial"/>
          <w:lang w:val="en-US"/>
        </w:rPr>
        <w:t xml:space="preserve"> (black bars) and ALDH</w:t>
      </w:r>
      <w:r w:rsidRPr="00116855">
        <w:rPr>
          <w:rFonts w:ascii="Arial" w:eastAsia="MS Mincho" w:hAnsi="Arial" w:cs="Arial"/>
          <w:vertAlign w:val="superscript"/>
          <w:lang w:val="en-US"/>
        </w:rPr>
        <w:t>LO</w:t>
      </w:r>
      <w:r w:rsidRPr="00116855">
        <w:rPr>
          <w:rFonts w:ascii="Arial" w:eastAsia="MS Mincho" w:hAnsi="Arial" w:cs="Arial"/>
          <w:lang w:val="en-US"/>
        </w:rPr>
        <w:t xml:space="preserve"> (white bars) cells derived from the endometrial cancer cell lines HEC1A and RL95-2. Asterisks mark statistically significant differences between individual subpopulations.</w:t>
      </w:r>
    </w:p>
    <w:p w14:paraId="3CCE1276" w14:textId="77777777" w:rsidR="00116855" w:rsidRPr="00116855" w:rsidRDefault="00116855" w:rsidP="00116855">
      <w:pPr>
        <w:spacing w:after="0" w:line="480" w:lineRule="auto"/>
        <w:jc w:val="both"/>
        <w:rPr>
          <w:rFonts w:ascii="Arial" w:eastAsia="MS Mincho" w:hAnsi="Arial" w:cs="Arial"/>
          <w:b/>
          <w:lang w:val="en-US"/>
        </w:rPr>
      </w:pPr>
    </w:p>
    <w:p w14:paraId="48A703B8" w14:textId="77777777" w:rsidR="00116855" w:rsidRPr="00116855" w:rsidRDefault="00116855" w:rsidP="00116855">
      <w:pPr>
        <w:spacing w:after="0" w:line="480" w:lineRule="auto"/>
        <w:jc w:val="both"/>
        <w:rPr>
          <w:rFonts w:ascii="Arial" w:eastAsia="MS Mincho" w:hAnsi="Arial" w:cs="Arial"/>
          <w:b/>
          <w:lang w:val="en-US"/>
        </w:rPr>
      </w:pPr>
      <w:r w:rsidRPr="00116855">
        <w:rPr>
          <w:rFonts w:ascii="Arial" w:eastAsia="MS Mincho" w:hAnsi="Arial" w:cs="Arial"/>
          <w:b/>
          <w:lang w:val="en-US"/>
        </w:rPr>
        <w:t>Supplementary Figure S2</w:t>
      </w:r>
    </w:p>
    <w:p w14:paraId="4A46954A" w14:textId="77777777" w:rsidR="00116855" w:rsidRPr="00116855" w:rsidRDefault="00116855" w:rsidP="00116855">
      <w:pPr>
        <w:spacing w:after="0" w:line="480" w:lineRule="auto"/>
        <w:jc w:val="both"/>
        <w:rPr>
          <w:rFonts w:ascii="Arial" w:eastAsia="MS Mincho" w:hAnsi="Arial" w:cs="Arial"/>
          <w:lang w:val="en-US"/>
        </w:rPr>
      </w:pPr>
      <w:r w:rsidRPr="00116855">
        <w:rPr>
          <w:rFonts w:ascii="Arial" w:eastAsia="MS Mincho" w:hAnsi="Arial" w:cs="Arial"/>
          <w:lang w:val="en-US"/>
        </w:rPr>
        <w:t>FACS analysis of CD133 expression in the endometrial cancer cell lines HEC1B, HEC1A, RL95-2, and IK. While CD133-stained HEC1B, HEC1 and RL95-2 cells appear to entirely overlap with the isotype control (CD133</w:t>
      </w:r>
      <w:r w:rsidRPr="00116855">
        <w:rPr>
          <w:rFonts w:ascii="Arial" w:eastAsia="MS Mincho" w:hAnsi="Arial" w:cs="Arial"/>
          <w:vertAlign w:val="superscript"/>
          <w:lang w:val="en-US"/>
        </w:rPr>
        <w:t>-</w:t>
      </w:r>
      <w:r w:rsidRPr="00116855">
        <w:rPr>
          <w:rFonts w:ascii="Arial" w:eastAsia="MS Mincho" w:hAnsi="Arial" w:cs="Arial"/>
          <w:lang w:val="en-US"/>
        </w:rPr>
        <w:t>), IK cells are almost entirely CD133</w:t>
      </w:r>
      <w:r w:rsidRPr="00116855">
        <w:rPr>
          <w:rFonts w:ascii="Arial" w:eastAsia="MS Mincho" w:hAnsi="Arial" w:cs="Arial"/>
          <w:vertAlign w:val="superscript"/>
          <w:lang w:val="en-US"/>
        </w:rPr>
        <w:t>+</w:t>
      </w:r>
      <w:r w:rsidRPr="00116855">
        <w:rPr>
          <w:rFonts w:ascii="Arial" w:eastAsia="MS Mincho" w:hAnsi="Arial" w:cs="Arial"/>
          <w:lang w:val="en-US"/>
        </w:rPr>
        <w:t xml:space="preserve">.  </w:t>
      </w:r>
    </w:p>
    <w:p w14:paraId="10DA23DC" w14:textId="77777777" w:rsidR="00116855" w:rsidRPr="00116855" w:rsidRDefault="00116855" w:rsidP="00116855">
      <w:pPr>
        <w:spacing w:after="0" w:line="480" w:lineRule="auto"/>
        <w:jc w:val="both"/>
        <w:rPr>
          <w:rFonts w:ascii="Arial" w:eastAsia="MS Mincho" w:hAnsi="Arial" w:cs="Arial"/>
          <w:lang w:val="en-US"/>
        </w:rPr>
      </w:pPr>
    </w:p>
    <w:p w14:paraId="1B9E5896" w14:textId="77777777" w:rsidR="00116855" w:rsidRPr="00116855" w:rsidRDefault="00116855" w:rsidP="00116855">
      <w:pPr>
        <w:spacing w:after="0" w:line="480" w:lineRule="auto"/>
        <w:jc w:val="both"/>
        <w:rPr>
          <w:rFonts w:ascii="Arial" w:eastAsia="MS Mincho" w:hAnsi="Arial" w:cs="Arial"/>
          <w:b/>
          <w:lang w:val="en-US"/>
        </w:rPr>
      </w:pPr>
      <w:r w:rsidRPr="00116855">
        <w:rPr>
          <w:rFonts w:ascii="Arial" w:eastAsia="MS Mincho" w:hAnsi="Arial" w:cs="Arial"/>
          <w:b/>
          <w:lang w:val="en-US"/>
        </w:rPr>
        <w:t>Supplementary Figure S3</w:t>
      </w:r>
    </w:p>
    <w:p w14:paraId="24B925AC" w14:textId="77777777" w:rsidR="00116855" w:rsidRPr="00116855" w:rsidRDefault="00116855" w:rsidP="00116855">
      <w:pPr>
        <w:spacing w:after="0" w:line="480" w:lineRule="auto"/>
        <w:jc w:val="both"/>
        <w:rPr>
          <w:rFonts w:ascii="Arial" w:eastAsia="MS Mincho" w:hAnsi="Arial" w:cs="Arial"/>
          <w:lang w:val="en-US"/>
        </w:rPr>
      </w:pPr>
      <w:r w:rsidRPr="00116855">
        <w:rPr>
          <w:rFonts w:ascii="Arial" w:eastAsia="MS Mincho" w:hAnsi="Arial" w:cs="Arial"/>
          <w:b/>
          <w:lang w:val="en-US"/>
        </w:rPr>
        <w:t>A.</w:t>
      </w:r>
      <w:r w:rsidRPr="00116855">
        <w:rPr>
          <w:rFonts w:ascii="Arial" w:eastAsia="MS Mincho" w:hAnsi="Arial" w:cs="Arial"/>
          <w:lang w:val="en-US"/>
        </w:rPr>
        <w:t xml:space="preserve"> Growth analysis of ALDH</w:t>
      </w:r>
      <w:r w:rsidRPr="00116855">
        <w:rPr>
          <w:rFonts w:ascii="Arial" w:eastAsia="MS Mincho" w:hAnsi="Arial" w:cs="Arial"/>
          <w:vertAlign w:val="superscript"/>
          <w:lang w:val="en-US"/>
        </w:rPr>
        <w:t xml:space="preserve">HI </w:t>
      </w:r>
      <w:r w:rsidRPr="00116855">
        <w:rPr>
          <w:rFonts w:ascii="Arial" w:eastAsia="MS Mincho" w:hAnsi="Arial" w:cs="Arial"/>
          <w:lang w:val="en-US"/>
        </w:rPr>
        <w:t>and ALDH</w:t>
      </w:r>
      <w:r w:rsidRPr="00116855">
        <w:rPr>
          <w:rFonts w:ascii="Arial" w:eastAsia="MS Mincho" w:hAnsi="Arial" w:cs="Arial"/>
          <w:vertAlign w:val="superscript"/>
          <w:lang w:val="en-US"/>
        </w:rPr>
        <w:t>LO</w:t>
      </w:r>
      <w:r w:rsidRPr="00116855">
        <w:rPr>
          <w:rFonts w:ascii="Arial" w:eastAsia="MS Mincho" w:hAnsi="Arial" w:cs="Arial"/>
          <w:lang w:val="en-US"/>
        </w:rPr>
        <w:t xml:space="preserve"> HEC1A cells cultured for 3 days in control medium and in the presence of Cisplatin (50 and 100 </w:t>
      </w:r>
      <w:proofErr w:type="spellStart"/>
      <w:r w:rsidRPr="00116855">
        <w:rPr>
          <w:rFonts w:ascii="Arial" w:eastAsia="MS Mincho" w:hAnsi="Arial" w:cs="Arial"/>
          <w:lang w:val="en-US"/>
        </w:rPr>
        <w:t>μM</w:t>
      </w:r>
      <w:proofErr w:type="spellEnd"/>
      <w:r w:rsidRPr="00116855">
        <w:rPr>
          <w:rFonts w:ascii="Arial" w:eastAsia="MS Mincho" w:hAnsi="Arial" w:cs="Arial"/>
          <w:lang w:val="en-US"/>
        </w:rPr>
        <w:t>). Cell growth was measured by MTT read at O.D. 490. Cisplatin resistance is mainly associated with the ALDH</w:t>
      </w:r>
      <w:r w:rsidRPr="00116855">
        <w:rPr>
          <w:rFonts w:ascii="Arial" w:eastAsia="MS Mincho" w:hAnsi="Arial" w:cs="Arial"/>
          <w:vertAlign w:val="superscript"/>
          <w:lang w:val="en-US"/>
        </w:rPr>
        <w:t>HI</w:t>
      </w:r>
      <w:r w:rsidRPr="00116855">
        <w:rPr>
          <w:rFonts w:ascii="Arial" w:eastAsia="MS Mincho" w:hAnsi="Arial" w:cs="Arial"/>
          <w:lang w:val="en-US"/>
        </w:rPr>
        <w:t xml:space="preserve"> fraction. Time zero (T0) was 27 hrs. </w:t>
      </w:r>
      <w:proofErr w:type="gramStart"/>
      <w:r w:rsidRPr="00116855">
        <w:rPr>
          <w:rFonts w:ascii="Arial" w:eastAsia="MS Mincho" w:hAnsi="Arial" w:cs="Arial"/>
          <w:lang w:val="en-US"/>
        </w:rPr>
        <w:t>after</w:t>
      </w:r>
      <w:proofErr w:type="gramEnd"/>
      <w:r w:rsidRPr="00116855">
        <w:rPr>
          <w:rFonts w:ascii="Arial" w:eastAsia="MS Mincho" w:hAnsi="Arial" w:cs="Arial"/>
          <w:lang w:val="en-US"/>
        </w:rPr>
        <w:t xml:space="preserve"> sorting. To compensate for differential growth of the two fractions and to ensure comparable MTT values at T0, ALDH</w:t>
      </w:r>
      <w:r w:rsidRPr="00116855">
        <w:rPr>
          <w:rFonts w:ascii="Arial" w:eastAsia="MS Mincho" w:hAnsi="Arial" w:cs="Arial"/>
          <w:vertAlign w:val="superscript"/>
          <w:lang w:val="en-US"/>
        </w:rPr>
        <w:t>LO</w:t>
      </w:r>
      <w:r w:rsidRPr="00116855">
        <w:rPr>
          <w:rFonts w:ascii="Arial" w:eastAsia="MS Mincho" w:hAnsi="Arial" w:cs="Arial"/>
          <w:lang w:val="en-US"/>
        </w:rPr>
        <w:t xml:space="preserve"> cells were seeded at higher density (3.5*10</w:t>
      </w:r>
      <w:r w:rsidRPr="00116855">
        <w:rPr>
          <w:rFonts w:ascii="Arial" w:eastAsia="MS Mincho" w:hAnsi="Arial" w:cs="Arial"/>
          <w:vertAlign w:val="superscript"/>
          <w:lang w:val="en-US"/>
        </w:rPr>
        <w:t>4</w:t>
      </w:r>
      <w:r w:rsidRPr="00116855">
        <w:rPr>
          <w:rFonts w:ascii="Arial" w:eastAsia="MS Mincho" w:hAnsi="Arial" w:cs="Arial"/>
          <w:lang w:val="en-US"/>
        </w:rPr>
        <w:t>/well) than ALDH</w:t>
      </w:r>
      <w:r w:rsidRPr="00116855">
        <w:rPr>
          <w:rFonts w:ascii="Arial" w:eastAsia="MS Mincho" w:hAnsi="Arial" w:cs="Arial"/>
          <w:vertAlign w:val="superscript"/>
          <w:lang w:val="en-US"/>
        </w:rPr>
        <w:t>HI</w:t>
      </w:r>
      <w:r w:rsidRPr="00116855">
        <w:rPr>
          <w:rFonts w:ascii="Arial" w:eastAsia="MS Mincho" w:hAnsi="Arial" w:cs="Arial"/>
          <w:lang w:val="en-US"/>
        </w:rPr>
        <w:t xml:space="preserve"> cells (2.25*10</w:t>
      </w:r>
      <w:r w:rsidRPr="00116855">
        <w:rPr>
          <w:rFonts w:ascii="Arial" w:eastAsia="MS Mincho" w:hAnsi="Arial" w:cs="Arial"/>
          <w:vertAlign w:val="superscript"/>
          <w:lang w:val="en-US"/>
        </w:rPr>
        <w:t>4</w:t>
      </w:r>
      <w:r w:rsidRPr="00116855">
        <w:rPr>
          <w:rFonts w:ascii="Arial" w:eastAsia="MS Mincho" w:hAnsi="Arial" w:cs="Arial"/>
          <w:lang w:val="en-US"/>
        </w:rPr>
        <w:t xml:space="preserve">/well). The graph is representative of three independent experiments. </w:t>
      </w:r>
    </w:p>
    <w:p w14:paraId="6DE6ED48" w14:textId="77777777" w:rsidR="00116855" w:rsidRPr="00116855" w:rsidRDefault="00116855" w:rsidP="00116855">
      <w:pPr>
        <w:spacing w:after="0" w:line="480" w:lineRule="auto"/>
        <w:jc w:val="both"/>
        <w:rPr>
          <w:rFonts w:ascii="Arial" w:eastAsia="MS Mincho" w:hAnsi="Arial" w:cs="Arial"/>
          <w:lang w:val="en-US"/>
        </w:rPr>
      </w:pPr>
      <w:r w:rsidRPr="00116855">
        <w:rPr>
          <w:rFonts w:ascii="Arial" w:eastAsia="MS Mincho" w:hAnsi="Arial" w:cs="Arial"/>
          <w:b/>
          <w:lang w:val="en-US"/>
        </w:rPr>
        <w:t>B.</w:t>
      </w:r>
      <w:r w:rsidRPr="00116855">
        <w:rPr>
          <w:rFonts w:ascii="Arial" w:eastAsia="MS Mincho" w:hAnsi="Arial" w:cs="Arial"/>
          <w:lang w:val="en-US"/>
        </w:rPr>
        <w:t xml:space="preserve"> Growth analysis of bulk HEC1A cells in the presence of Cisplatin and IL6 pathway inhibitors (anti-CD126 Ab, </w:t>
      </w:r>
      <w:proofErr w:type="spellStart"/>
      <w:r w:rsidRPr="00116855">
        <w:rPr>
          <w:rFonts w:ascii="Arial" w:eastAsia="MS Mincho" w:hAnsi="Arial" w:cs="Arial"/>
          <w:lang w:val="en-US"/>
        </w:rPr>
        <w:t>Ruxolitinib</w:t>
      </w:r>
      <w:proofErr w:type="spellEnd"/>
      <w:r w:rsidRPr="00116855">
        <w:rPr>
          <w:rFonts w:ascii="Arial" w:eastAsia="MS Mincho" w:hAnsi="Arial" w:cs="Arial"/>
          <w:lang w:val="en-US"/>
        </w:rPr>
        <w:t xml:space="preserve">, and </w:t>
      </w:r>
      <w:proofErr w:type="spellStart"/>
      <w:r w:rsidRPr="00116855">
        <w:rPr>
          <w:rFonts w:ascii="Arial" w:eastAsia="MS Mincho" w:hAnsi="Arial" w:cs="Arial"/>
          <w:lang w:val="en-US"/>
        </w:rPr>
        <w:t>Nifuroxazide</w:t>
      </w:r>
      <w:proofErr w:type="spellEnd"/>
      <w:r w:rsidRPr="00116855">
        <w:rPr>
          <w:rFonts w:ascii="Arial" w:eastAsia="MS Mincho" w:hAnsi="Arial" w:cs="Arial"/>
          <w:lang w:val="en-US"/>
        </w:rPr>
        <w:t>) as single agents. Cells were seeded at 2.0*10</w:t>
      </w:r>
      <w:r w:rsidRPr="00116855">
        <w:rPr>
          <w:rFonts w:ascii="Arial" w:eastAsia="MS Mincho" w:hAnsi="Arial" w:cs="Arial"/>
          <w:vertAlign w:val="superscript"/>
          <w:lang w:val="en-US"/>
        </w:rPr>
        <w:t>4</w:t>
      </w:r>
      <w:r w:rsidRPr="00116855">
        <w:rPr>
          <w:rFonts w:ascii="Arial" w:eastAsia="MS Mincho" w:hAnsi="Arial" w:cs="Arial"/>
          <w:lang w:val="en-US"/>
        </w:rPr>
        <w:t xml:space="preserve">/well and the treatments were started 20 hrs. </w:t>
      </w:r>
      <w:proofErr w:type="gramStart"/>
      <w:r w:rsidRPr="00116855">
        <w:rPr>
          <w:rFonts w:ascii="Arial" w:eastAsia="MS Mincho" w:hAnsi="Arial" w:cs="Arial"/>
          <w:lang w:val="en-US"/>
        </w:rPr>
        <w:t>later</w:t>
      </w:r>
      <w:proofErr w:type="gramEnd"/>
      <w:r w:rsidRPr="00116855">
        <w:rPr>
          <w:rFonts w:ascii="Arial" w:eastAsia="MS Mincho" w:hAnsi="Arial" w:cs="Arial"/>
          <w:lang w:val="en-US"/>
        </w:rPr>
        <w:t xml:space="preserve">. MTT analysis was performed after 3.5 days. The histograms represent the average ±SD from 2 independent experiments performed in parallel, each in duplicate. The baseline (depicted in red) was drawn based on the T0 value. Different degrees of growth inhibition are observed with all the agents with the only exception of </w:t>
      </w:r>
      <w:proofErr w:type="spellStart"/>
      <w:r w:rsidRPr="00116855">
        <w:rPr>
          <w:rFonts w:ascii="Arial" w:eastAsia="MS Mincho" w:hAnsi="Arial" w:cs="Arial"/>
          <w:lang w:val="en-US"/>
        </w:rPr>
        <w:t>Ruxolitinib</w:t>
      </w:r>
      <w:proofErr w:type="spellEnd"/>
      <w:r w:rsidRPr="00116855">
        <w:rPr>
          <w:rFonts w:ascii="Arial" w:eastAsia="MS Mincho" w:hAnsi="Arial" w:cs="Arial"/>
          <w:lang w:val="en-US"/>
        </w:rPr>
        <w:t xml:space="preserve"> at 12 </w:t>
      </w:r>
      <w:r w:rsidRPr="00116855">
        <w:rPr>
          <w:rFonts w:ascii="Calibri" w:eastAsia="MS Mincho" w:hAnsi="Calibri" w:cs="Times New Roman"/>
          <w:lang w:val="en-US"/>
        </w:rPr>
        <w:t>µM</w:t>
      </w:r>
      <w:r w:rsidRPr="00116855">
        <w:rPr>
          <w:rFonts w:ascii="Arial" w:eastAsia="MS Mincho" w:hAnsi="Arial" w:cs="Arial"/>
          <w:lang w:val="en-US"/>
        </w:rPr>
        <w:t>.</w:t>
      </w:r>
    </w:p>
    <w:p w14:paraId="4F29CD08" w14:textId="77777777" w:rsidR="00116855" w:rsidRPr="00116855" w:rsidRDefault="00116855" w:rsidP="00116855">
      <w:pPr>
        <w:spacing w:after="0" w:line="480" w:lineRule="auto"/>
        <w:jc w:val="both"/>
        <w:rPr>
          <w:rFonts w:ascii="Arial" w:eastAsia="MS Mincho" w:hAnsi="Arial" w:cs="Arial"/>
          <w:lang w:val="en-US"/>
        </w:rPr>
      </w:pPr>
      <w:r w:rsidRPr="00116855">
        <w:rPr>
          <w:rFonts w:ascii="Arial" w:eastAsia="MS Mincho" w:hAnsi="Arial" w:cs="Arial"/>
          <w:b/>
          <w:lang w:val="en-US"/>
        </w:rPr>
        <w:t>C.</w:t>
      </w:r>
      <w:r w:rsidRPr="00116855">
        <w:rPr>
          <w:rFonts w:ascii="Arial" w:eastAsia="MS Mincho" w:hAnsi="Arial" w:cs="Arial"/>
          <w:lang w:val="en-US"/>
        </w:rPr>
        <w:t xml:space="preserve"> Combinatorial treatment with Cisplatin and IL-6 signaling inhibitors. Bulk HEC1A cells were first treated for 3.5 days and measured by MTT (left panel). The histograms the percentage increase/decrease when compared with the T0 value (red line) as calculated in B. All cells were subsequently washed, grown in control medium for 3 weeks, and again measured by MTT (right panel). </w:t>
      </w:r>
      <w:r w:rsidRPr="00116855">
        <w:rPr>
          <w:rFonts w:ascii="Arial" w:eastAsia="MS Mincho" w:hAnsi="Arial" w:cs="Arial"/>
          <w:lang w:val="en-US"/>
        </w:rPr>
        <w:lastRenderedPageBreak/>
        <w:t>For the sake of simplicity, only the most relevant combinations, with respect to the definition of cooperative toxicity, are shown.</w:t>
      </w:r>
    </w:p>
    <w:p w14:paraId="11AB78B6" w14:textId="77777777" w:rsidR="00116855" w:rsidRPr="00116855" w:rsidRDefault="00116855" w:rsidP="00116855">
      <w:pPr>
        <w:spacing w:after="0" w:line="480" w:lineRule="auto"/>
        <w:jc w:val="both"/>
        <w:rPr>
          <w:rFonts w:ascii="Arial" w:eastAsia="MS Mincho" w:hAnsi="Arial" w:cs="Arial"/>
          <w:b/>
          <w:lang w:val="en-US"/>
        </w:rPr>
      </w:pPr>
    </w:p>
    <w:p w14:paraId="7A42988F" w14:textId="77777777" w:rsidR="00143EFB" w:rsidRPr="00116855" w:rsidRDefault="00143EFB">
      <w:pPr>
        <w:rPr>
          <w:lang w:val="en-US"/>
        </w:rPr>
      </w:pPr>
    </w:p>
    <w:sectPr w:rsidR="00143EFB" w:rsidRPr="00116855" w:rsidSect="006C1327">
      <w:footerReference w:type="default" r:id="rId7"/>
      <w:pgSz w:w="11906" w:h="16838"/>
      <w:pgMar w:top="1418" w:right="992" w:bottom="1418"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AFD3A" w14:textId="77777777" w:rsidR="00000000" w:rsidRDefault="007D1E40">
      <w:pPr>
        <w:spacing w:after="0" w:line="240" w:lineRule="auto"/>
      </w:pPr>
      <w:r>
        <w:separator/>
      </w:r>
    </w:p>
  </w:endnote>
  <w:endnote w:type="continuationSeparator" w:id="0">
    <w:p w14:paraId="1D6C1BA2" w14:textId="77777777" w:rsidR="00000000" w:rsidRDefault="007D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555626"/>
      <w:docPartObj>
        <w:docPartGallery w:val="Page Numbers (Bottom of Page)"/>
        <w:docPartUnique/>
      </w:docPartObj>
    </w:sdtPr>
    <w:sdtEndPr/>
    <w:sdtContent>
      <w:sdt>
        <w:sdtPr>
          <w:id w:val="1486973918"/>
          <w:docPartObj>
            <w:docPartGallery w:val="Page Numbers (Top of Page)"/>
            <w:docPartUnique/>
          </w:docPartObj>
        </w:sdtPr>
        <w:sdtEndPr/>
        <w:sdtContent>
          <w:p w14:paraId="0482A109" w14:textId="77777777" w:rsidR="00EC1EF7" w:rsidRDefault="0041445E">
            <w:pPr>
              <w:pStyle w:val="Footer"/>
              <w:jc w:val="center"/>
            </w:pPr>
            <w:r w:rsidRPr="00FE2B5E">
              <w:rPr>
                <w:rFonts w:ascii="Arial" w:hAnsi="Arial" w:cs="Arial"/>
                <w:sz w:val="20"/>
                <w:szCs w:val="20"/>
              </w:rPr>
              <w:t xml:space="preserve">Page </w:t>
            </w:r>
            <w:r w:rsidRPr="00FE2B5E">
              <w:rPr>
                <w:rFonts w:ascii="Arial" w:hAnsi="Arial" w:cs="Arial"/>
                <w:bCs/>
                <w:sz w:val="20"/>
                <w:szCs w:val="20"/>
              </w:rPr>
              <w:fldChar w:fldCharType="begin"/>
            </w:r>
            <w:r w:rsidRPr="00FE2B5E">
              <w:rPr>
                <w:rFonts w:ascii="Arial" w:hAnsi="Arial" w:cs="Arial"/>
                <w:bCs/>
                <w:sz w:val="20"/>
                <w:szCs w:val="20"/>
              </w:rPr>
              <w:instrText xml:space="preserve"> PAGE </w:instrText>
            </w:r>
            <w:r w:rsidRPr="00FE2B5E">
              <w:rPr>
                <w:rFonts w:ascii="Arial" w:hAnsi="Arial" w:cs="Arial"/>
                <w:bCs/>
                <w:sz w:val="20"/>
                <w:szCs w:val="20"/>
              </w:rPr>
              <w:fldChar w:fldCharType="separate"/>
            </w:r>
            <w:r w:rsidR="007D1E40">
              <w:rPr>
                <w:rFonts w:ascii="Arial" w:hAnsi="Arial" w:cs="Arial"/>
                <w:bCs/>
                <w:noProof/>
                <w:sz w:val="20"/>
                <w:szCs w:val="20"/>
              </w:rPr>
              <w:t>1</w:t>
            </w:r>
            <w:r w:rsidRPr="00FE2B5E">
              <w:rPr>
                <w:rFonts w:ascii="Arial" w:hAnsi="Arial" w:cs="Arial"/>
                <w:bCs/>
                <w:sz w:val="20"/>
                <w:szCs w:val="20"/>
              </w:rPr>
              <w:fldChar w:fldCharType="end"/>
            </w:r>
            <w:r w:rsidRPr="00FE2B5E">
              <w:rPr>
                <w:rFonts w:ascii="Arial" w:hAnsi="Arial" w:cs="Arial"/>
                <w:sz w:val="20"/>
                <w:szCs w:val="20"/>
              </w:rPr>
              <w:t xml:space="preserve"> of </w:t>
            </w:r>
            <w:r w:rsidRPr="00FE2B5E">
              <w:rPr>
                <w:rFonts w:ascii="Arial" w:hAnsi="Arial" w:cs="Arial"/>
                <w:bCs/>
                <w:sz w:val="20"/>
                <w:szCs w:val="20"/>
              </w:rPr>
              <w:fldChar w:fldCharType="begin"/>
            </w:r>
            <w:r w:rsidRPr="00FE2B5E">
              <w:rPr>
                <w:rFonts w:ascii="Arial" w:hAnsi="Arial" w:cs="Arial"/>
                <w:bCs/>
                <w:sz w:val="20"/>
                <w:szCs w:val="20"/>
              </w:rPr>
              <w:instrText xml:space="preserve"> NUMPAGES  </w:instrText>
            </w:r>
            <w:r w:rsidRPr="00FE2B5E">
              <w:rPr>
                <w:rFonts w:ascii="Arial" w:hAnsi="Arial" w:cs="Arial"/>
                <w:bCs/>
                <w:sz w:val="20"/>
                <w:szCs w:val="20"/>
              </w:rPr>
              <w:fldChar w:fldCharType="separate"/>
            </w:r>
            <w:r w:rsidR="007D1E40">
              <w:rPr>
                <w:rFonts w:ascii="Arial" w:hAnsi="Arial" w:cs="Arial"/>
                <w:bCs/>
                <w:noProof/>
                <w:sz w:val="20"/>
                <w:szCs w:val="20"/>
              </w:rPr>
              <w:t>2</w:t>
            </w:r>
            <w:r w:rsidRPr="00FE2B5E">
              <w:rPr>
                <w:rFonts w:ascii="Arial" w:hAnsi="Arial" w:cs="Arial"/>
                <w:bCs/>
                <w:sz w:val="20"/>
                <w:szCs w:val="20"/>
              </w:rPr>
              <w:fldChar w:fldCharType="end"/>
            </w:r>
          </w:p>
        </w:sdtContent>
      </w:sdt>
    </w:sdtContent>
  </w:sdt>
  <w:p w14:paraId="2268858D" w14:textId="77777777" w:rsidR="00EC1EF7" w:rsidRDefault="007D1E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399DC" w14:textId="77777777" w:rsidR="00000000" w:rsidRDefault="007D1E40">
      <w:pPr>
        <w:spacing w:after="0" w:line="240" w:lineRule="auto"/>
      </w:pPr>
      <w:r>
        <w:separator/>
      </w:r>
    </w:p>
  </w:footnote>
  <w:footnote w:type="continuationSeparator" w:id="0">
    <w:p w14:paraId="0E3CD64D" w14:textId="77777777" w:rsidR="00000000" w:rsidRDefault="007D1E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55"/>
    <w:rsid w:val="0004782D"/>
    <w:rsid w:val="00116855"/>
    <w:rsid w:val="00143EFB"/>
    <w:rsid w:val="0041445E"/>
    <w:rsid w:val="006C1327"/>
    <w:rsid w:val="007D1E4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49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1685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168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1685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1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340</Words>
  <Characters>1938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dc:creator>
  <cp:lastModifiedBy>Riccardo Fodde</cp:lastModifiedBy>
  <cp:revision>5</cp:revision>
  <cp:lastPrinted>2015-03-03T15:37:00Z</cp:lastPrinted>
  <dcterms:created xsi:type="dcterms:W3CDTF">2015-03-03T15:34:00Z</dcterms:created>
  <dcterms:modified xsi:type="dcterms:W3CDTF">2015-04-20T14:54:00Z</dcterms:modified>
</cp:coreProperties>
</file>