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44" w:rsidRDefault="00753144" w:rsidP="0075314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SUPPLEMENTARY FIGURE LEGENDS</w:t>
      </w:r>
    </w:p>
    <w:p w:rsidR="00753144" w:rsidRDefault="00753144" w:rsidP="00753144">
      <w:pPr>
        <w:rPr>
          <w:b/>
          <w:sz w:val="28"/>
          <w:szCs w:val="28"/>
          <w:lang w:val="en-US"/>
        </w:rPr>
      </w:pPr>
    </w:p>
    <w:p w:rsidR="00753144" w:rsidRDefault="00753144" w:rsidP="00753144">
      <w:pPr>
        <w:jc w:val="both"/>
      </w:pPr>
      <w:proofErr w:type="gramStart"/>
      <w:r w:rsidRPr="00276D7A">
        <w:rPr>
          <w:b/>
        </w:rPr>
        <w:t xml:space="preserve">Supplementary Figure </w:t>
      </w:r>
      <w:r>
        <w:rPr>
          <w:b/>
        </w:rPr>
        <w:t>S</w:t>
      </w:r>
      <w:r w:rsidRPr="00276D7A">
        <w:rPr>
          <w:b/>
        </w:rPr>
        <w:t>1.</w:t>
      </w:r>
      <w:proofErr w:type="gramEnd"/>
      <w:r w:rsidRPr="00276D7A">
        <w:rPr>
          <w:b/>
        </w:rPr>
        <w:t xml:space="preserve"> Representative dot plots of </w:t>
      </w:r>
      <w:r w:rsidRPr="00276D7A">
        <w:rPr>
          <w:b/>
          <w:i/>
        </w:rPr>
        <w:t>in vitro</w:t>
      </w:r>
      <w:r w:rsidRPr="00276D7A">
        <w:rPr>
          <w:b/>
        </w:rPr>
        <w:t xml:space="preserve"> inhibition of T cell activation by TPIN-SCs.</w:t>
      </w:r>
      <w:r w:rsidRPr="00276D7A">
        <w:t xml:space="preserve"> (A-C) </w:t>
      </w:r>
      <w:proofErr w:type="spellStart"/>
      <w:r w:rsidRPr="00276D7A">
        <w:t>Splenocytes</w:t>
      </w:r>
      <w:proofErr w:type="spellEnd"/>
      <w:r w:rsidRPr="00276D7A">
        <w:t xml:space="preserve"> were activated alone or in the presence of irradiated TPIN-SCs (1:10 ratio) as described in Figure 1, and analysed by FACS after 5 or 3 days, for CD4</w:t>
      </w:r>
      <w:r w:rsidRPr="00276D7A">
        <w:rPr>
          <w:vertAlign w:val="superscript"/>
        </w:rPr>
        <w:t>+</w:t>
      </w:r>
      <w:r w:rsidRPr="00276D7A">
        <w:t xml:space="preserve"> (left panels) or CD8</w:t>
      </w:r>
      <w:r w:rsidRPr="00276D7A">
        <w:rPr>
          <w:vertAlign w:val="superscript"/>
        </w:rPr>
        <w:t>+</w:t>
      </w:r>
      <w:r w:rsidRPr="00276D7A">
        <w:t xml:space="preserve"> (right panels) respectively. Representative dot plots are gated on CD4</w:t>
      </w:r>
      <w:r w:rsidRPr="00276D7A">
        <w:rPr>
          <w:vertAlign w:val="superscript"/>
        </w:rPr>
        <w:t>+</w:t>
      </w:r>
      <w:r w:rsidRPr="00276D7A">
        <w:t xml:space="preserve"> or CD8</w:t>
      </w:r>
      <w:r w:rsidRPr="00276D7A">
        <w:rPr>
          <w:vertAlign w:val="superscript"/>
        </w:rPr>
        <w:t>+</w:t>
      </w:r>
      <w:r w:rsidRPr="00276D7A">
        <w:t xml:space="preserve"> cells. (D) Representative dot plots, gated on CD3</w:t>
      </w:r>
      <w:r w:rsidRPr="00276D7A">
        <w:rPr>
          <w:vertAlign w:val="superscript"/>
        </w:rPr>
        <w:t>+</w:t>
      </w:r>
      <w:r w:rsidRPr="00276D7A">
        <w:t xml:space="preserve"> cells, depicting proliferation of PBMCs as measured by CFSE dilution at day 6 of stimulation with </w:t>
      </w:r>
      <w:proofErr w:type="spellStart"/>
      <w:r w:rsidRPr="00276D7A">
        <w:t>ConA</w:t>
      </w:r>
      <w:proofErr w:type="spellEnd"/>
      <w:r w:rsidRPr="00276D7A">
        <w:t xml:space="preserve"> alone (</w:t>
      </w:r>
      <w:proofErr w:type="spellStart"/>
      <w:r w:rsidRPr="00276D7A">
        <w:t>Nihil</w:t>
      </w:r>
      <w:proofErr w:type="spellEnd"/>
      <w:r w:rsidRPr="00276D7A">
        <w:t xml:space="preserve">) or in the presence of irradiated TPIN-SCs or TNE-SCs (1:10 ratio). </w:t>
      </w:r>
    </w:p>
    <w:p w:rsidR="00753144" w:rsidRPr="00276D7A" w:rsidRDefault="00753144" w:rsidP="00753144">
      <w:pPr>
        <w:jc w:val="both"/>
      </w:pPr>
    </w:p>
    <w:p w:rsidR="00753144" w:rsidRPr="007E3490" w:rsidRDefault="00753144" w:rsidP="00753144">
      <w:pPr>
        <w:jc w:val="both"/>
      </w:pPr>
      <w:proofErr w:type="gramStart"/>
      <w:r w:rsidRPr="00276D7A">
        <w:rPr>
          <w:b/>
        </w:rPr>
        <w:t xml:space="preserve">Supplementary Figure </w:t>
      </w:r>
      <w:r>
        <w:rPr>
          <w:b/>
        </w:rPr>
        <w:t>S</w:t>
      </w:r>
      <w:r w:rsidRPr="00276D7A">
        <w:rPr>
          <w:b/>
        </w:rPr>
        <w:t>2.</w:t>
      </w:r>
      <w:proofErr w:type="gramEnd"/>
      <w:r w:rsidRPr="00276D7A">
        <w:rPr>
          <w:b/>
        </w:rPr>
        <w:t xml:space="preserve"> Non-irradiated TPIN-SCs arrest </w:t>
      </w:r>
      <w:r w:rsidRPr="00276D7A">
        <w:rPr>
          <w:b/>
          <w:i/>
        </w:rPr>
        <w:t>in vitro</w:t>
      </w:r>
      <w:r w:rsidRPr="00276D7A">
        <w:rPr>
          <w:b/>
        </w:rPr>
        <w:t xml:space="preserve"> T cell activation.</w:t>
      </w:r>
      <w:r w:rsidRPr="00276D7A">
        <w:t xml:space="preserve"> (A) Left panels: Representative dot plots of </w:t>
      </w:r>
      <w:r w:rsidRPr="00276D7A">
        <w:rPr>
          <w:i/>
        </w:rPr>
        <w:t>in vitro</w:t>
      </w:r>
      <w:r w:rsidRPr="00276D7A">
        <w:t xml:space="preserve"> proliferation of CD4</w:t>
      </w:r>
      <w:r w:rsidRPr="00276D7A">
        <w:rPr>
          <w:vertAlign w:val="superscript"/>
        </w:rPr>
        <w:t>+</w:t>
      </w:r>
      <w:r w:rsidRPr="00276D7A">
        <w:t xml:space="preserve"> (upper panels) and CD8</w:t>
      </w:r>
      <w:r w:rsidRPr="00276D7A">
        <w:rPr>
          <w:vertAlign w:val="superscript"/>
        </w:rPr>
        <w:t>+</w:t>
      </w:r>
      <w:r w:rsidRPr="00276D7A">
        <w:t xml:space="preserve"> </w:t>
      </w:r>
      <w:proofErr w:type="spellStart"/>
      <w:r w:rsidRPr="00276D7A">
        <w:t>splenocytes</w:t>
      </w:r>
      <w:proofErr w:type="spellEnd"/>
      <w:r w:rsidRPr="00276D7A">
        <w:t xml:space="preserve"> (lower panels) measured by FACS as CFSE dilution after 5 or 3 days, respectively, of stimulation with anti-CD3/CD28 beads alone (</w:t>
      </w:r>
      <w:proofErr w:type="spellStart"/>
      <w:r w:rsidRPr="00276D7A">
        <w:t>Nihil</w:t>
      </w:r>
      <w:proofErr w:type="spellEnd"/>
      <w:r w:rsidRPr="00276D7A">
        <w:t xml:space="preserve">) or in the presence of </w:t>
      </w:r>
      <w:proofErr w:type="spellStart"/>
      <w:r w:rsidRPr="00276D7A">
        <w:t>no</w:t>
      </w:r>
      <w:r>
        <w:t>n</w:t>
      </w:r>
      <w:r w:rsidRPr="00276D7A">
        <w:t xml:space="preserve"> irradiated</w:t>
      </w:r>
      <w:proofErr w:type="spellEnd"/>
      <w:r w:rsidRPr="00276D7A">
        <w:t xml:space="preserve"> TPIN-SCs or TNE-SCs. CSCs (1:10 ratio) were added in co-culture (</w:t>
      </w:r>
      <w:proofErr w:type="spellStart"/>
      <w:r w:rsidRPr="00276D7A">
        <w:t>coc</w:t>
      </w:r>
      <w:proofErr w:type="spellEnd"/>
      <w:r w:rsidRPr="00276D7A">
        <w:t xml:space="preserve">), or in the upper chamber of a 0.4 mm </w:t>
      </w:r>
      <w:proofErr w:type="spellStart"/>
      <w:r w:rsidRPr="00276D7A">
        <w:t>transwell</w:t>
      </w:r>
      <w:proofErr w:type="spellEnd"/>
      <w:r w:rsidRPr="00276D7A">
        <w:t xml:space="preserve"> (</w:t>
      </w:r>
      <w:proofErr w:type="spellStart"/>
      <w:r w:rsidRPr="00276D7A">
        <w:t>tw</w:t>
      </w:r>
      <w:proofErr w:type="spellEnd"/>
      <w:r w:rsidRPr="00276D7A">
        <w:t>). Right panel: Percentage of proliferating CD8</w:t>
      </w:r>
      <w:r w:rsidRPr="00276D7A">
        <w:rPr>
          <w:vertAlign w:val="superscript"/>
        </w:rPr>
        <w:t>+</w:t>
      </w:r>
      <w:r w:rsidRPr="00276D7A">
        <w:t xml:space="preserve"> (black bars) and CD4</w:t>
      </w:r>
      <w:r w:rsidRPr="00276D7A">
        <w:rPr>
          <w:vertAlign w:val="superscript"/>
        </w:rPr>
        <w:t>+</w:t>
      </w:r>
      <w:r w:rsidRPr="00276D7A">
        <w:t xml:space="preserve"> (white bars) T cells. (B) Expression [mean fluorescence intensity (MFI)] of surface CD44 and percentage of cells producing IFN</w:t>
      </w:r>
      <w:r w:rsidRPr="00276D7A">
        <w:rPr>
          <w:rFonts w:ascii="Symbol" w:hAnsi="Symbol"/>
        </w:rPr>
        <w:t></w:t>
      </w:r>
      <w:r w:rsidRPr="00276D7A">
        <w:t xml:space="preserve"> in cultured CD8</w:t>
      </w:r>
      <w:r w:rsidRPr="00276D7A">
        <w:rPr>
          <w:vertAlign w:val="superscript"/>
        </w:rPr>
        <w:t>+</w:t>
      </w:r>
      <w:r w:rsidRPr="00276D7A">
        <w:t xml:space="preserve"> (black bars) and CD4</w:t>
      </w:r>
      <w:r w:rsidRPr="00276D7A">
        <w:rPr>
          <w:vertAlign w:val="superscript"/>
        </w:rPr>
        <w:t>+</w:t>
      </w:r>
      <w:r w:rsidRPr="00276D7A">
        <w:t xml:space="preserve"> (white bars) T cells. (C) Representative dot plots of histograms reported in panel B. Each panel of the figure is representative of 2 independent experiments. Data are reported as average ± SD. </w:t>
      </w:r>
      <w:proofErr w:type="spellStart"/>
      <w:r w:rsidRPr="00276D7A">
        <w:t>Anova</w:t>
      </w:r>
      <w:proofErr w:type="spellEnd"/>
      <w:r w:rsidRPr="00276D7A">
        <w:t xml:space="preserve"> followed by </w:t>
      </w:r>
      <w:proofErr w:type="spellStart"/>
      <w:r w:rsidRPr="00276D7A">
        <w:t>Tukey’s</w:t>
      </w:r>
      <w:proofErr w:type="spellEnd"/>
      <w:r w:rsidRPr="00276D7A">
        <w:t xml:space="preserve"> test and Student’s T test: * p&lt; 0.05; ** p&lt;0.01; *** p&lt;0.0001.</w:t>
      </w:r>
    </w:p>
    <w:p w:rsidR="00753144" w:rsidRDefault="00753144" w:rsidP="00753144">
      <w:pPr>
        <w:jc w:val="both"/>
        <w:rPr>
          <w:b/>
        </w:rPr>
      </w:pPr>
    </w:p>
    <w:p w:rsidR="00753144" w:rsidRPr="00276D7A" w:rsidRDefault="00753144" w:rsidP="00753144">
      <w:pPr>
        <w:jc w:val="both"/>
      </w:pPr>
      <w:proofErr w:type="gramStart"/>
      <w:r w:rsidRPr="00276D7A">
        <w:rPr>
          <w:b/>
        </w:rPr>
        <w:lastRenderedPageBreak/>
        <w:t xml:space="preserve">Supplementary Figure </w:t>
      </w:r>
      <w:r>
        <w:rPr>
          <w:b/>
        </w:rPr>
        <w:t>S</w:t>
      </w:r>
      <w:r w:rsidRPr="00276D7A">
        <w:rPr>
          <w:b/>
        </w:rPr>
        <w:t>3.</w:t>
      </w:r>
      <w:proofErr w:type="gramEnd"/>
      <w:r w:rsidRPr="00276D7A">
        <w:rPr>
          <w:b/>
        </w:rPr>
        <w:t xml:space="preserve"> TPIN-SCs inhibit </w:t>
      </w:r>
      <w:proofErr w:type="spellStart"/>
      <w:r w:rsidRPr="00276D7A">
        <w:rPr>
          <w:b/>
        </w:rPr>
        <w:t>restimulation</w:t>
      </w:r>
      <w:proofErr w:type="spellEnd"/>
      <w:r w:rsidRPr="00276D7A">
        <w:rPr>
          <w:b/>
        </w:rPr>
        <w:t xml:space="preserve"> of antigen-experienced T cells but do not affect fully activated T cells.</w:t>
      </w:r>
      <w:r w:rsidRPr="00276D7A">
        <w:t xml:space="preserve"> (A) Left panel: FACS analysis of </w:t>
      </w:r>
      <w:proofErr w:type="spellStart"/>
      <w:r w:rsidRPr="00276D7A">
        <w:t>splenocytes</w:t>
      </w:r>
      <w:proofErr w:type="spellEnd"/>
      <w:r w:rsidRPr="00276D7A">
        <w:t xml:space="preserve"> from Tag-</w:t>
      </w:r>
      <w:proofErr w:type="spellStart"/>
      <w:r w:rsidRPr="00276D7A">
        <w:t>presensitized</w:t>
      </w:r>
      <w:proofErr w:type="spellEnd"/>
      <w:r w:rsidRPr="00276D7A">
        <w:t xml:space="preserve"> mice after a 5-day </w:t>
      </w:r>
      <w:r w:rsidRPr="00276D7A">
        <w:rPr>
          <w:i/>
        </w:rPr>
        <w:t>in vitro</w:t>
      </w:r>
      <w:r w:rsidRPr="00276D7A">
        <w:t xml:space="preserve"> antigen </w:t>
      </w:r>
      <w:proofErr w:type="spellStart"/>
      <w:r w:rsidRPr="00276D7A">
        <w:t>restimulation</w:t>
      </w:r>
      <w:proofErr w:type="spellEnd"/>
      <w:r w:rsidRPr="00276D7A">
        <w:t xml:space="preserve"> alone (</w:t>
      </w:r>
      <w:proofErr w:type="spellStart"/>
      <w:r w:rsidRPr="00276D7A">
        <w:t>Nihil</w:t>
      </w:r>
      <w:proofErr w:type="spellEnd"/>
      <w:r w:rsidRPr="00276D7A">
        <w:t xml:space="preserve">) or in the presence of irradiated CSCs (co-culture, </w:t>
      </w:r>
      <w:proofErr w:type="spellStart"/>
      <w:r w:rsidRPr="00276D7A">
        <w:t>coc</w:t>
      </w:r>
      <w:proofErr w:type="spellEnd"/>
      <w:r w:rsidRPr="00276D7A">
        <w:t xml:space="preserve"> or </w:t>
      </w:r>
      <w:proofErr w:type="spellStart"/>
      <w:r w:rsidRPr="00276D7A">
        <w:t>transwell</w:t>
      </w:r>
      <w:proofErr w:type="spellEnd"/>
      <w:r w:rsidRPr="00276D7A">
        <w:t xml:space="preserve">, </w:t>
      </w:r>
      <w:proofErr w:type="spellStart"/>
      <w:r w:rsidRPr="00276D7A">
        <w:t>tw</w:t>
      </w:r>
      <w:proofErr w:type="spellEnd"/>
      <w:r w:rsidRPr="00276D7A">
        <w:t xml:space="preserve"> at 1:10 ratio). Columns depict the absolute number ± SD of CD8</w:t>
      </w:r>
      <w:r w:rsidRPr="00276D7A">
        <w:rPr>
          <w:vertAlign w:val="superscript"/>
        </w:rPr>
        <w:t>+</w:t>
      </w:r>
      <w:r w:rsidRPr="00276D7A">
        <w:t xml:space="preserve"> T cells. Right panel: Percentage (average ± SD) of CD44</w:t>
      </w:r>
      <w:r w:rsidRPr="00276D7A">
        <w:rPr>
          <w:vertAlign w:val="superscript"/>
        </w:rPr>
        <w:t>+</w:t>
      </w:r>
      <w:r w:rsidRPr="00276D7A">
        <w:t>IFN</w:t>
      </w:r>
      <w:r w:rsidRPr="00276D7A">
        <w:rPr>
          <w:rFonts w:ascii="Symbol" w:hAnsi="Symbol"/>
        </w:rPr>
        <w:t></w:t>
      </w:r>
      <w:r w:rsidRPr="00276D7A">
        <w:rPr>
          <w:vertAlign w:val="superscript"/>
        </w:rPr>
        <w:t>+</w:t>
      </w:r>
      <w:r w:rsidRPr="00276D7A">
        <w:t xml:space="preserve"> cells within the gate of CD8</w:t>
      </w:r>
      <w:r w:rsidRPr="00276D7A">
        <w:rPr>
          <w:vertAlign w:val="superscript"/>
        </w:rPr>
        <w:t>+</w:t>
      </w:r>
      <w:r w:rsidRPr="00276D7A">
        <w:t xml:space="preserve"> T cells upon challenge with RMA cells pulsed with Tag (values are subtracted of background </w:t>
      </w:r>
      <w:proofErr w:type="spellStart"/>
      <w:r w:rsidRPr="00276D7A">
        <w:t>IFNγ</w:t>
      </w:r>
      <w:proofErr w:type="spellEnd"/>
      <w:r w:rsidRPr="00276D7A">
        <w:t xml:space="preserve"> release against </w:t>
      </w:r>
      <w:proofErr w:type="spellStart"/>
      <w:r w:rsidRPr="00276D7A">
        <w:t>unpulsed</w:t>
      </w:r>
      <w:proofErr w:type="spellEnd"/>
      <w:r w:rsidRPr="00276D7A">
        <w:t xml:space="preserve"> RMA cells). (B) Left panels: Blasts were also challenged for their killing activity against Tag-pulsed (circles) or </w:t>
      </w:r>
      <w:proofErr w:type="spellStart"/>
      <w:r w:rsidRPr="00276D7A">
        <w:t>unpulsed</w:t>
      </w:r>
      <w:proofErr w:type="spellEnd"/>
      <w:r w:rsidRPr="00276D7A">
        <w:t xml:space="preserve"> RMA cells (squares) in a </w:t>
      </w:r>
      <w:r w:rsidRPr="00276D7A">
        <w:rPr>
          <w:vertAlign w:val="superscript"/>
        </w:rPr>
        <w:t>51</w:t>
      </w:r>
      <w:r w:rsidRPr="00276D7A">
        <w:t xml:space="preserve">Cr cytotoxic assay. Right panel: Quantification of specific </w:t>
      </w:r>
      <w:proofErr w:type="spellStart"/>
      <w:r w:rsidRPr="00276D7A">
        <w:t>lysis</w:t>
      </w:r>
      <w:proofErr w:type="spellEnd"/>
      <w:r w:rsidRPr="00276D7A">
        <w:t xml:space="preserve"> as Lytic units values (average ± SD). (C) Left panels: OTII (CD4</w:t>
      </w:r>
      <w:r w:rsidRPr="00276D7A">
        <w:rPr>
          <w:vertAlign w:val="superscript"/>
        </w:rPr>
        <w:t>+</w:t>
      </w:r>
      <w:r w:rsidRPr="00276D7A">
        <w:t>; upper panels) and OTI (CD8</w:t>
      </w:r>
      <w:r w:rsidRPr="00276D7A">
        <w:rPr>
          <w:vertAlign w:val="superscript"/>
        </w:rPr>
        <w:t>+</w:t>
      </w:r>
      <w:r w:rsidRPr="00276D7A">
        <w:t xml:space="preserve">; lower panels) cells were primed </w:t>
      </w:r>
      <w:r w:rsidRPr="00276D7A">
        <w:rPr>
          <w:i/>
        </w:rPr>
        <w:t>in vitro</w:t>
      </w:r>
      <w:r w:rsidRPr="00276D7A">
        <w:t xml:space="preserve"> with OVA peptides. At day 5 or day 3, respectively, primed OTII and OTI cells were </w:t>
      </w:r>
      <w:proofErr w:type="spellStart"/>
      <w:r w:rsidRPr="00276D7A">
        <w:t>labeled</w:t>
      </w:r>
      <w:proofErr w:type="spellEnd"/>
      <w:r w:rsidRPr="00276D7A">
        <w:t xml:space="preserve"> with CFSE and seeded with IL-2, alone (</w:t>
      </w:r>
      <w:proofErr w:type="spellStart"/>
      <w:r w:rsidRPr="00276D7A">
        <w:t>Nihil</w:t>
      </w:r>
      <w:proofErr w:type="spellEnd"/>
      <w:r w:rsidRPr="00276D7A">
        <w:t>) or in co-culture with irradiated TPIN-SCs (1:10), and assessed by FACS for CFSE dilution and IFN</w:t>
      </w:r>
      <w:r w:rsidRPr="00276D7A">
        <w:rPr>
          <w:rFonts w:ascii="Symbol" w:hAnsi="Symbol"/>
        </w:rPr>
        <w:t></w:t>
      </w:r>
      <w:r w:rsidRPr="00276D7A">
        <w:t xml:space="preserve"> production against OVA expressing cells after additional 48 h. Right panel: Percentage ± SD of </w:t>
      </w:r>
      <w:proofErr w:type="spellStart"/>
      <w:r w:rsidRPr="00276D7A">
        <w:t>IFNγ</w:t>
      </w:r>
      <w:proofErr w:type="spellEnd"/>
      <w:r w:rsidRPr="00276D7A">
        <w:t xml:space="preserve"> producing cells that have diluted CFSE within the gate of CD4</w:t>
      </w:r>
      <w:r w:rsidRPr="00276D7A">
        <w:rPr>
          <w:vertAlign w:val="superscript"/>
        </w:rPr>
        <w:t>+</w:t>
      </w:r>
      <w:r w:rsidRPr="00276D7A">
        <w:t xml:space="preserve"> (white columns) and CD8</w:t>
      </w:r>
      <w:r w:rsidRPr="00276D7A">
        <w:rPr>
          <w:vertAlign w:val="superscript"/>
        </w:rPr>
        <w:t>+</w:t>
      </w:r>
      <w:r w:rsidRPr="00276D7A">
        <w:t xml:space="preserve"> T cells (black columns). </w:t>
      </w:r>
      <w:proofErr w:type="gramStart"/>
      <w:r w:rsidRPr="00276D7A">
        <w:t>Representative of at least 3 experiments with at least 3 mice per group.</w:t>
      </w:r>
      <w:proofErr w:type="gramEnd"/>
      <w:r w:rsidRPr="00276D7A">
        <w:t xml:space="preserve"> </w:t>
      </w:r>
      <w:proofErr w:type="spellStart"/>
      <w:r w:rsidRPr="00276D7A">
        <w:t>Anova</w:t>
      </w:r>
      <w:proofErr w:type="spellEnd"/>
      <w:r w:rsidRPr="00276D7A">
        <w:t xml:space="preserve"> followed by </w:t>
      </w:r>
      <w:proofErr w:type="spellStart"/>
      <w:r w:rsidRPr="00276D7A">
        <w:t>Tukey’s</w:t>
      </w:r>
      <w:proofErr w:type="spellEnd"/>
      <w:r w:rsidRPr="00276D7A">
        <w:t xml:space="preserve"> test: * p&lt; 0.05; *** p&lt;0.0001.</w:t>
      </w:r>
    </w:p>
    <w:p w:rsidR="00753144" w:rsidRDefault="00753144" w:rsidP="00753144">
      <w:pPr>
        <w:jc w:val="both"/>
        <w:rPr>
          <w:b/>
        </w:rPr>
      </w:pPr>
    </w:p>
    <w:p w:rsidR="00753144" w:rsidRDefault="00753144" w:rsidP="00753144">
      <w:pPr>
        <w:jc w:val="both"/>
      </w:pPr>
      <w:proofErr w:type="gramStart"/>
      <w:r w:rsidRPr="00276D7A">
        <w:rPr>
          <w:b/>
        </w:rPr>
        <w:t xml:space="preserve">Supplementary Figure </w:t>
      </w:r>
      <w:r>
        <w:rPr>
          <w:b/>
        </w:rPr>
        <w:t>S</w:t>
      </w:r>
      <w:r w:rsidRPr="00276D7A">
        <w:rPr>
          <w:b/>
        </w:rPr>
        <w:t>4.</w:t>
      </w:r>
      <w:proofErr w:type="gramEnd"/>
      <w:r w:rsidRPr="00276D7A">
        <w:rPr>
          <w:b/>
        </w:rPr>
        <w:t xml:space="preserve"> TPIN-SC-conditioned T cells are </w:t>
      </w:r>
      <w:proofErr w:type="spellStart"/>
      <w:r w:rsidRPr="00276D7A">
        <w:rPr>
          <w:b/>
        </w:rPr>
        <w:t>hyporesponsive</w:t>
      </w:r>
      <w:proofErr w:type="spellEnd"/>
      <w:r w:rsidRPr="00276D7A">
        <w:t>. (A) Phosphorylation of Zap70 (pZAP70), ERK (</w:t>
      </w:r>
      <w:proofErr w:type="spellStart"/>
      <w:r w:rsidRPr="00276D7A">
        <w:t>pERK</w:t>
      </w:r>
      <w:proofErr w:type="spellEnd"/>
      <w:r w:rsidRPr="00276D7A">
        <w:t>) and STAT5 (pSTAT5) expressed as MFI (average ± SD) in CFSE-</w:t>
      </w:r>
      <w:proofErr w:type="spellStart"/>
      <w:r w:rsidRPr="00276D7A">
        <w:t>labeled</w:t>
      </w:r>
      <w:proofErr w:type="spellEnd"/>
      <w:r w:rsidRPr="00276D7A">
        <w:t xml:space="preserve"> </w:t>
      </w:r>
      <w:proofErr w:type="spellStart"/>
      <w:r w:rsidRPr="00276D7A">
        <w:t>splenocytes</w:t>
      </w:r>
      <w:proofErr w:type="spellEnd"/>
      <w:r w:rsidRPr="00276D7A">
        <w:t xml:space="preserve"> after 3 (CD8</w:t>
      </w:r>
      <w:r w:rsidRPr="00276D7A">
        <w:rPr>
          <w:vertAlign w:val="superscript"/>
        </w:rPr>
        <w:t>+</w:t>
      </w:r>
      <w:r w:rsidRPr="00276D7A">
        <w:t>; black columns) or 5 days (CD4</w:t>
      </w:r>
      <w:r w:rsidRPr="00276D7A">
        <w:rPr>
          <w:vertAlign w:val="superscript"/>
        </w:rPr>
        <w:t>+</w:t>
      </w:r>
      <w:r w:rsidRPr="00276D7A">
        <w:t xml:space="preserve">; white columns) of </w:t>
      </w:r>
      <w:r w:rsidRPr="00276D7A">
        <w:rPr>
          <w:i/>
        </w:rPr>
        <w:t>in vitro</w:t>
      </w:r>
      <w:r w:rsidRPr="00276D7A">
        <w:t xml:space="preserve"> stimulation with anti-CD3/CD28 beads alone (</w:t>
      </w:r>
      <w:proofErr w:type="spellStart"/>
      <w:r w:rsidRPr="00276D7A">
        <w:t>Nihil</w:t>
      </w:r>
      <w:proofErr w:type="spellEnd"/>
      <w:r w:rsidRPr="00276D7A">
        <w:t xml:space="preserve">) or in the presence of irradiated TPIN-SCs (1:10 ratio). (B) SILAC analysis on protein extracts from </w:t>
      </w:r>
      <w:r w:rsidRPr="00276D7A">
        <w:lastRenderedPageBreak/>
        <w:t>cultures of OTI (CD8</w:t>
      </w:r>
      <w:r w:rsidRPr="00276D7A">
        <w:rPr>
          <w:vertAlign w:val="superscript"/>
        </w:rPr>
        <w:t>+</w:t>
      </w:r>
      <w:r w:rsidRPr="00276D7A">
        <w:t xml:space="preserve">) cells that were primed </w:t>
      </w:r>
      <w:r w:rsidRPr="00276D7A">
        <w:rPr>
          <w:i/>
        </w:rPr>
        <w:t>in vitro</w:t>
      </w:r>
      <w:r w:rsidRPr="00276D7A">
        <w:t xml:space="preserve"> with OVA</w:t>
      </w:r>
      <w:r w:rsidRPr="00276D7A">
        <w:rPr>
          <w:vertAlign w:val="subscript"/>
        </w:rPr>
        <w:t xml:space="preserve"> </w:t>
      </w:r>
      <w:r w:rsidRPr="00276D7A">
        <w:t>peptides in the presence of TPIN-SCs or TNE-SCs and in SILAC medium containing light (</w:t>
      </w:r>
      <w:r w:rsidRPr="00276D7A">
        <w:rPr>
          <w:vertAlign w:val="superscript"/>
        </w:rPr>
        <w:t>12</w:t>
      </w:r>
      <w:r w:rsidRPr="00276D7A">
        <w:t xml:space="preserve">C and </w:t>
      </w:r>
      <w:r w:rsidRPr="00276D7A">
        <w:rPr>
          <w:vertAlign w:val="superscript"/>
        </w:rPr>
        <w:t>14</w:t>
      </w:r>
      <w:r w:rsidRPr="00276D7A">
        <w:t>N) or heavy (</w:t>
      </w:r>
      <w:r w:rsidRPr="00276D7A">
        <w:rPr>
          <w:vertAlign w:val="superscript"/>
        </w:rPr>
        <w:t>13</w:t>
      </w:r>
      <w:r w:rsidRPr="00276D7A">
        <w:t xml:space="preserve">C </w:t>
      </w:r>
      <w:r w:rsidRPr="00276D7A">
        <w:rPr>
          <w:vertAlign w:val="superscript"/>
        </w:rPr>
        <w:t>15</w:t>
      </w:r>
      <w:r w:rsidRPr="00276D7A">
        <w:t xml:space="preserve">N) </w:t>
      </w:r>
      <w:proofErr w:type="spellStart"/>
      <w:r w:rsidRPr="00276D7A">
        <w:t>labeled</w:t>
      </w:r>
      <w:proofErr w:type="spellEnd"/>
      <w:r w:rsidRPr="00276D7A">
        <w:t xml:space="preserve"> L-lysine and L-arginine, respectively. At day 7, CD8</w:t>
      </w:r>
      <w:r w:rsidRPr="00276D7A">
        <w:rPr>
          <w:vertAlign w:val="superscript"/>
        </w:rPr>
        <w:t>+</w:t>
      </w:r>
      <w:r w:rsidRPr="00276D7A">
        <w:t xml:space="preserve"> cells were sorted for CD62L</w:t>
      </w:r>
      <w:r w:rsidRPr="00276D7A">
        <w:rPr>
          <w:vertAlign w:val="superscript"/>
        </w:rPr>
        <w:t>high</w:t>
      </w:r>
      <w:r w:rsidRPr="00276D7A">
        <w:t xml:space="preserve"> (i.e. inhibited by TPIN-SCs) or CD62L</w:t>
      </w:r>
      <w:r w:rsidRPr="00276D7A">
        <w:rPr>
          <w:vertAlign w:val="superscript"/>
        </w:rPr>
        <w:t>low</w:t>
      </w:r>
      <w:r w:rsidRPr="00276D7A">
        <w:t xml:space="preserve"> (i.e. activated in presence of TNE-SCs). Differential expressed proteins are reported as the log</w:t>
      </w:r>
      <w:r w:rsidRPr="00276D7A">
        <w:rPr>
          <w:vertAlign w:val="subscript"/>
        </w:rPr>
        <w:t>2</w:t>
      </w:r>
      <w:r w:rsidRPr="00276D7A">
        <w:t xml:space="preserve"> of protein ratio plotted against the log</w:t>
      </w:r>
      <w:r w:rsidRPr="00276D7A">
        <w:rPr>
          <w:vertAlign w:val="subscript"/>
        </w:rPr>
        <w:t>10</w:t>
      </w:r>
      <w:r w:rsidRPr="00276D7A">
        <w:t xml:space="preserve"> of total intensity calculated for of each protein both in heavy and light conditions. Data points are </w:t>
      </w:r>
      <w:proofErr w:type="spellStart"/>
      <w:r w:rsidRPr="00276D7A">
        <w:t>colored</w:t>
      </w:r>
      <w:proofErr w:type="spellEnd"/>
      <w:r w:rsidRPr="00276D7A">
        <w:t xml:space="preserve"> by their ‘significance B’, with blue squares having values &gt;0.05, red squares between 0.05 and 0.01, yellow squares between 0.01 and 0.001 and green squares &lt;0.001. (C) Naïve </w:t>
      </w:r>
      <w:proofErr w:type="spellStart"/>
      <w:r w:rsidRPr="00276D7A">
        <w:t>splenocytes</w:t>
      </w:r>
      <w:proofErr w:type="spellEnd"/>
      <w:r w:rsidRPr="00276D7A">
        <w:t xml:space="preserve"> were stimulated </w:t>
      </w:r>
      <w:r w:rsidRPr="00276D7A">
        <w:rPr>
          <w:i/>
        </w:rPr>
        <w:t>in vitro</w:t>
      </w:r>
      <w:r w:rsidRPr="00276D7A">
        <w:t xml:space="preserve"> with anti-CD3/CD28 beads alone (</w:t>
      </w:r>
      <w:proofErr w:type="spellStart"/>
      <w:r w:rsidRPr="00276D7A">
        <w:t>Nihil</w:t>
      </w:r>
      <w:proofErr w:type="spellEnd"/>
      <w:r w:rsidRPr="00276D7A">
        <w:t>) or in the presence of irradiated TPIN-SCs. At day 3, purified CD8</w:t>
      </w:r>
      <w:r w:rsidRPr="00276D7A">
        <w:rPr>
          <w:vertAlign w:val="superscript"/>
        </w:rPr>
        <w:t>+</w:t>
      </w:r>
      <w:r w:rsidRPr="00276D7A">
        <w:t xml:space="preserve"> T cells were </w:t>
      </w:r>
      <w:proofErr w:type="spellStart"/>
      <w:r w:rsidRPr="00276D7A">
        <w:t>labeled</w:t>
      </w:r>
      <w:proofErr w:type="spellEnd"/>
      <w:r w:rsidRPr="00276D7A">
        <w:t xml:space="preserve"> with CFSE and stimulated again with anti-CD3/CD28 beads. Proliferation and activation were tested 3 days later. Representative of at least 3 independent experiments performed with at least 3 mice per group. Student’s T test: * p&lt; 0.05; ** p&lt;0.01; *** p&lt;0.0001.</w:t>
      </w:r>
    </w:p>
    <w:p w:rsidR="00753144" w:rsidRPr="007E3490" w:rsidRDefault="00753144" w:rsidP="00753144">
      <w:pPr>
        <w:jc w:val="both"/>
      </w:pPr>
    </w:p>
    <w:p w:rsidR="00753144" w:rsidRDefault="00753144" w:rsidP="00753144">
      <w:pPr>
        <w:jc w:val="both"/>
      </w:pPr>
      <w:proofErr w:type="gramStart"/>
      <w:r w:rsidRPr="00276D7A">
        <w:rPr>
          <w:b/>
        </w:rPr>
        <w:t>Supplementary Figure</w:t>
      </w:r>
      <w:r>
        <w:rPr>
          <w:b/>
        </w:rPr>
        <w:t xml:space="preserve"> S</w:t>
      </w:r>
      <w:r w:rsidRPr="00276D7A">
        <w:rPr>
          <w:b/>
        </w:rPr>
        <w:t>5.</w:t>
      </w:r>
      <w:proofErr w:type="gramEnd"/>
      <w:r w:rsidRPr="00276D7A">
        <w:rPr>
          <w:b/>
        </w:rPr>
        <w:t xml:space="preserve"> Silencing of TNC modulates the inhibitory activity of TPIN-SCs.</w:t>
      </w:r>
      <w:r w:rsidRPr="00276D7A">
        <w:t xml:space="preserve"> (A-C) </w:t>
      </w:r>
      <w:proofErr w:type="spellStart"/>
      <w:r w:rsidRPr="00276D7A">
        <w:t>Splenocytes</w:t>
      </w:r>
      <w:proofErr w:type="spellEnd"/>
      <w:r w:rsidRPr="00276D7A">
        <w:t xml:space="preserve"> were activated alone or in the presence of irradiated TPIN-SC </w:t>
      </w:r>
      <w:proofErr w:type="spellStart"/>
      <w:r w:rsidRPr="00276D7A">
        <w:t>shRNA</w:t>
      </w:r>
      <w:proofErr w:type="spellEnd"/>
      <w:r w:rsidRPr="00276D7A">
        <w:t xml:space="preserve">-TNC or TPIN-SC </w:t>
      </w:r>
      <w:proofErr w:type="spellStart"/>
      <w:r w:rsidRPr="00276D7A">
        <w:t>shRNA-ctr</w:t>
      </w:r>
      <w:proofErr w:type="spellEnd"/>
      <w:r w:rsidRPr="00276D7A">
        <w:t xml:space="preserve"> (1:10 ratio) as described in Figure 5, and analysed by FACS for phosphorylation of Zap70 (pZAP70), ERK (</w:t>
      </w:r>
      <w:proofErr w:type="spellStart"/>
      <w:r w:rsidRPr="00276D7A">
        <w:t>pERK</w:t>
      </w:r>
      <w:proofErr w:type="spellEnd"/>
      <w:r w:rsidRPr="00276D7A">
        <w:t xml:space="preserve">) and STAT5 (pSTAT5). The figure reports representative histograms. </w:t>
      </w:r>
    </w:p>
    <w:p w:rsidR="00753144" w:rsidRPr="007E3490" w:rsidRDefault="00753144" w:rsidP="00753144">
      <w:pPr>
        <w:jc w:val="both"/>
        <w:rPr>
          <w:sz w:val="28"/>
          <w:szCs w:val="28"/>
          <w:lang w:val="en-US"/>
        </w:rPr>
      </w:pPr>
    </w:p>
    <w:p w:rsidR="00753144" w:rsidRPr="00614F8D" w:rsidRDefault="00753144" w:rsidP="00753144">
      <w:pPr>
        <w:jc w:val="both"/>
        <w:rPr>
          <w:sz w:val="28"/>
          <w:szCs w:val="28"/>
          <w:lang w:val="en-US"/>
        </w:rPr>
      </w:pPr>
      <w:proofErr w:type="gramStart"/>
      <w:r w:rsidRPr="00276D7A">
        <w:rPr>
          <w:b/>
        </w:rPr>
        <w:t xml:space="preserve">Supplementary Figure </w:t>
      </w:r>
      <w:r>
        <w:rPr>
          <w:b/>
        </w:rPr>
        <w:t>S</w:t>
      </w:r>
      <w:r w:rsidRPr="00276D7A">
        <w:rPr>
          <w:b/>
        </w:rPr>
        <w:t>6.</w:t>
      </w:r>
      <w:proofErr w:type="gramEnd"/>
      <w:r w:rsidRPr="00276D7A">
        <w:rPr>
          <w:b/>
        </w:rPr>
        <w:t xml:space="preserve"> CSCs migration is mediated by the CXCR4/CXCL12 axis.</w:t>
      </w:r>
      <w:r w:rsidRPr="00276D7A">
        <w:t xml:space="preserve"> (A) FACS analysis of TPIN-SCs and TLN-SCs for CXCR4 expression. Black profile: specific staining; white profile: </w:t>
      </w:r>
      <w:proofErr w:type="spellStart"/>
      <w:r w:rsidRPr="00276D7A">
        <w:t>isotype</w:t>
      </w:r>
      <w:proofErr w:type="spellEnd"/>
      <w:r w:rsidRPr="00276D7A">
        <w:t xml:space="preserve"> control. (B-C) </w:t>
      </w:r>
      <w:proofErr w:type="gramStart"/>
      <w:r w:rsidRPr="00276D7A">
        <w:t xml:space="preserve">Number of </w:t>
      </w:r>
      <w:r w:rsidRPr="00276D7A">
        <w:rPr>
          <w:i/>
        </w:rPr>
        <w:t>in vitro</w:t>
      </w:r>
      <w:r w:rsidRPr="00276D7A">
        <w:t xml:space="preserve"> migrated TPIN-SCs towards </w:t>
      </w:r>
      <w:r w:rsidRPr="00276D7A">
        <w:lastRenderedPageBreak/>
        <w:t>CXCL12 (2.5nM) as quantified by FACS.</w:t>
      </w:r>
      <w:proofErr w:type="gramEnd"/>
      <w:r w:rsidRPr="00276D7A">
        <w:t xml:space="preserve"> Migration was inhibited by the addition of the CXCR4 inhibitor AMD3100 (10</w:t>
      </w:r>
      <w:r w:rsidRPr="00276D7A">
        <w:rPr>
          <w:rFonts w:ascii="Symbol" w:hAnsi="Symbol"/>
        </w:rPr>
        <w:t></w:t>
      </w:r>
      <w:r w:rsidRPr="00276D7A">
        <w:t>M) or the CXCR4 antagonist peptide R (10</w:t>
      </w:r>
      <w:r w:rsidRPr="00276D7A">
        <w:rPr>
          <w:rFonts w:ascii="Symbol" w:hAnsi="Symbol"/>
        </w:rPr>
        <w:t></w:t>
      </w:r>
      <w:r w:rsidRPr="00276D7A">
        <w:t xml:space="preserve">M), as indicated. Negative control was TPIN-SCs in normal medium. (D) Quantification (average ± SD) of CXCL12 expression by real-time PCR in PDLNs or NDLNs of TRAMP and WT mice. Values were normalized to the positive control (a prostate of a TRAMP mouse) using the ΔΔCT method. (E) FACS analysis of TPIN-SCs for CCR7, CCR6 and CXCR3 expression. Red profile: specific staining; black profile: </w:t>
      </w:r>
      <w:proofErr w:type="spellStart"/>
      <w:r w:rsidRPr="00276D7A">
        <w:t>isotype</w:t>
      </w:r>
      <w:proofErr w:type="spellEnd"/>
      <w:r w:rsidRPr="00276D7A">
        <w:t xml:space="preserve"> control. Each panel of the figure is representative of at least 3 independent experiments. </w:t>
      </w:r>
      <w:proofErr w:type="spellStart"/>
      <w:r w:rsidRPr="00276D7A">
        <w:rPr>
          <w:bCs/>
        </w:rPr>
        <w:t>Anova</w:t>
      </w:r>
      <w:proofErr w:type="spellEnd"/>
      <w:r w:rsidRPr="00276D7A">
        <w:rPr>
          <w:bCs/>
        </w:rPr>
        <w:t xml:space="preserve"> followed by </w:t>
      </w:r>
      <w:proofErr w:type="spellStart"/>
      <w:r w:rsidRPr="00276D7A">
        <w:rPr>
          <w:bCs/>
        </w:rPr>
        <w:t>Tukey’s</w:t>
      </w:r>
      <w:proofErr w:type="spellEnd"/>
      <w:r w:rsidRPr="00276D7A">
        <w:rPr>
          <w:bCs/>
        </w:rPr>
        <w:t xml:space="preserve"> test and T test: * p&lt; 0.05; ** p&lt;0.01; *** p&lt;0.0001</w:t>
      </w:r>
      <w:r w:rsidRPr="00276D7A">
        <w:t>.</w:t>
      </w:r>
    </w:p>
    <w:p w:rsidR="006B0A4A" w:rsidRDefault="006B0A4A">
      <w:bookmarkStart w:id="0" w:name="_GoBack"/>
      <w:bookmarkEnd w:id="0"/>
    </w:p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44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3E34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D17"/>
    <w:rsid w:val="00256CD0"/>
    <w:rsid w:val="0026073F"/>
    <w:rsid w:val="00263209"/>
    <w:rsid w:val="00265BF4"/>
    <w:rsid w:val="0027178D"/>
    <w:rsid w:val="00271B9B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4DC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144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31188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E6DC1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7D0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588"/>
    <w:rsid w:val="00AB763D"/>
    <w:rsid w:val="00AC2936"/>
    <w:rsid w:val="00AC66C2"/>
    <w:rsid w:val="00AC70D9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35DC"/>
    <w:rsid w:val="00B23A90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3E49"/>
    <w:rsid w:val="00B64590"/>
    <w:rsid w:val="00B6459B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67B9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D3D47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4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44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2015-03-19T19:17:00Z</dcterms:created>
  <dcterms:modified xsi:type="dcterms:W3CDTF">2015-03-19T19:18:00Z</dcterms:modified>
</cp:coreProperties>
</file>