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31" w:rsidRPr="00C43E31" w:rsidRDefault="00C43E31" w:rsidP="00C43E31">
      <w:pPr>
        <w:pStyle w:val="Paragraph"/>
        <w:spacing w:before="0" w:line="480" w:lineRule="auto"/>
        <w:ind w:firstLine="0"/>
        <w:rPr>
          <w:b/>
          <w:u w:val="single"/>
        </w:rPr>
      </w:pPr>
      <w:r w:rsidRPr="00C43E31">
        <w:rPr>
          <w:b/>
          <w:u w:val="single"/>
        </w:rPr>
        <w:t>Supplementary Figure and Table Legends</w:t>
      </w:r>
    </w:p>
    <w:p w:rsidR="00C43E31" w:rsidRDefault="00C43E31" w:rsidP="00C43E31">
      <w:pPr>
        <w:pStyle w:val="Paragraph"/>
        <w:spacing w:before="0" w:line="480" w:lineRule="auto"/>
        <w:ind w:firstLine="0"/>
        <w:rPr>
          <w:u w:val="single"/>
        </w:rPr>
      </w:pPr>
    </w:p>
    <w:p w:rsidR="00C43E31" w:rsidRPr="005E402B" w:rsidRDefault="00C43E31" w:rsidP="00C43E31">
      <w:pPr>
        <w:pStyle w:val="Paragraph"/>
        <w:spacing w:line="480" w:lineRule="auto"/>
        <w:ind w:firstLine="0"/>
        <w:rPr>
          <w:b/>
        </w:rPr>
      </w:pPr>
      <w:proofErr w:type="gramStart"/>
      <w:r w:rsidRPr="005E402B">
        <w:rPr>
          <w:b/>
        </w:rPr>
        <w:t xml:space="preserve">Supplementary Table </w:t>
      </w:r>
      <w:r>
        <w:rPr>
          <w:b/>
        </w:rPr>
        <w:t>S</w:t>
      </w:r>
      <w:r w:rsidRPr="005E402B">
        <w:rPr>
          <w:b/>
        </w:rPr>
        <w:t>1.</w:t>
      </w:r>
      <w:proofErr w:type="gramEnd"/>
      <w:r w:rsidRPr="005E402B">
        <w:rPr>
          <w:b/>
        </w:rPr>
        <w:t xml:space="preserve">  Data obtained from the</w:t>
      </w:r>
      <w:bookmarkStart w:id="0" w:name="_GoBack"/>
      <w:bookmarkEnd w:id="0"/>
      <w:r w:rsidRPr="005E402B">
        <w:rPr>
          <w:b/>
        </w:rPr>
        <w:t xml:space="preserve"> HT-screen for all 94 hits</w:t>
      </w:r>
      <w:r>
        <w:rPr>
          <w:b/>
        </w:rPr>
        <w:t>.</w:t>
      </w:r>
    </w:p>
    <w:p w:rsidR="00C43E31" w:rsidRDefault="00C43E31" w:rsidP="00C43E31">
      <w:pPr>
        <w:pStyle w:val="Paragraph"/>
        <w:spacing w:before="0" w:line="480" w:lineRule="auto"/>
        <w:ind w:firstLine="0"/>
        <w:rPr>
          <w:u w:val="single"/>
        </w:rPr>
      </w:pPr>
    </w:p>
    <w:p w:rsidR="00C43E31" w:rsidRPr="00BB7E38" w:rsidRDefault="00C43E31" w:rsidP="00C43E31">
      <w:pPr>
        <w:pStyle w:val="Paragraph"/>
        <w:spacing w:before="0" w:line="480" w:lineRule="auto"/>
        <w:ind w:firstLine="0"/>
        <w:rPr>
          <w:u w:val="single"/>
        </w:rPr>
      </w:pPr>
    </w:p>
    <w:p w:rsidR="00C43E31" w:rsidRPr="008E6A58" w:rsidRDefault="00C43E31" w:rsidP="00C43E31">
      <w:pPr>
        <w:pStyle w:val="Paragraph"/>
        <w:spacing w:line="480" w:lineRule="auto"/>
        <w:ind w:firstLine="0"/>
      </w:pPr>
      <w:proofErr w:type="gramStart"/>
      <w:r>
        <w:rPr>
          <w:b/>
        </w:rPr>
        <w:t xml:space="preserve">Supplementary </w:t>
      </w:r>
      <w:r w:rsidRPr="00FC32CD">
        <w:rPr>
          <w:b/>
        </w:rPr>
        <w:t xml:space="preserve">Fig. </w:t>
      </w:r>
      <w:proofErr w:type="gramEnd"/>
      <w:r>
        <w:rPr>
          <w:b/>
        </w:rPr>
        <w:t>S</w:t>
      </w:r>
      <w:r w:rsidRPr="00FC32CD">
        <w:rPr>
          <w:b/>
        </w:rPr>
        <w:t xml:space="preserve">1. </w:t>
      </w:r>
      <w:r>
        <w:rPr>
          <w:b/>
        </w:rPr>
        <w:t xml:space="preserve"> </w:t>
      </w:r>
      <w:r w:rsidRPr="00FC32CD">
        <w:rPr>
          <w:b/>
          <w:bCs/>
        </w:rPr>
        <w:t>SUM149PT cell line meets the screening criteria.</w:t>
      </w:r>
      <w:r>
        <w:rPr>
          <w:bCs/>
        </w:rPr>
        <w:t xml:space="preserve">  </w:t>
      </w:r>
      <w:r w:rsidRPr="00FC32CD">
        <w:rPr>
          <w:b/>
          <w:bCs/>
        </w:rPr>
        <w:t>(</w:t>
      </w:r>
      <w:r>
        <w:rPr>
          <w:b/>
          <w:bCs/>
        </w:rPr>
        <w:t>A</w:t>
      </w:r>
      <w:r w:rsidRPr="00FC32CD">
        <w:rPr>
          <w:b/>
          <w:bCs/>
        </w:rPr>
        <w:t xml:space="preserve">) Adenovirus infectivity.  </w:t>
      </w:r>
      <w:r w:rsidRPr="00FC32CD">
        <w:rPr>
          <w:bCs/>
        </w:rPr>
        <w:t xml:space="preserve">Cells were seeded in 24-well plates and allowed to cycle for 24 hours.  Cells were then infected with media (mock), adenovirus-null (ad-NULL), or adenovirus-GFP (ad-GFP).  Infection was carried out in regular growth media at 50pfu/cell for 4 hours.  After 24 hours, cells were examined for GFP expression by fluorescent microscopy under 10X objective.  GFP expression indicates adenovirus infectivity.  </w:t>
      </w:r>
      <w:proofErr w:type="spellStart"/>
      <w:r w:rsidRPr="00FC32CD">
        <w:rPr>
          <w:bCs/>
        </w:rPr>
        <w:t>Brightfield</w:t>
      </w:r>
      <w:proofErr w:type="spellEnd"/>
      <w:r w:rsidRPr="00FC32CD">
        <w:rPr>
          <w:bCs/>
        </w:rPr>
        <w:t xml:space="preserve"> images obtained for mock (data not shown) and ad-NULL (inset) infections confirmed the presence of cells.</w:t>
      </w:r>
      <w:r w:rsidRPr="00FC32CD" w:rsidDel="007C50FD">
        <w:rPr>
          <w:bCs/>
        </w:rPr>
        <w:t xml:space="preserve"> </w:t>
      </w:r>
      <w:r w:rsidRPr="00FC32CD">
        <w:rPr>
          <w:b/>
          <w:bCs/>
        </w:rPr>
        <w:t>(</w:t>
      </w:r>
      <w:r>
        <w:rPr>
          <w:b/>
          <w:bCs/>
        </w:rPr>
        <w:t>B</w:t>
      </w:r>
      <w:r w:rsidRPr="00FC32CD">
        <w:rPr>
          <w:b/>
          <w:bCs/>
        </w:rPr>
        <w:t>) DNA repair activity.</w:t>
      </w:r>
      <w:r w:rsidRPr="00FC32CD">
        <w:rPr>
          <w:bCs/>
        </w:rPr>
        <w:t xml:space="preserve">  SUM149PT and MCF7 cell lines were infected with ad-GFP subjected to photodynamic treatment (PDT) for 0, 1, or 2 minutes and analyzed by host-cell-reactivation (HCR) for GFP expression at 24 hours using flow </w:t>
      </w:r>
      <w:proofErr w:type="spellStart"/>
      <w:r w:rsidRPr="00FC32CD">
        <w:rPr>
          <w:bCs/>
        </w:rPr>
        <w:t>cytometry</w:t>
      </w:r>
      <w:proofErr w:type="spellEnd"/>
      <w:r w:rsidRPr="00FC32CD">
        <w:rPr>
          <w:bCs/>
        </w:rPr>
        <w:t>.  Imaging confirmed these data (not shown).  MCF7 cells showed a 6 and 30% decrease in GFP expression relative to the undamaged control when infected with ad-GFP subjected to PDT for 1 and 2 minutes, respectively, whereas SUM149PT cells showed a 52 and 82% decrease in GFP expression relative to the undamaged control when infected with ad-GFP subjected to PDT for 1 and 2 minutes, respectively.  Therefore, SUM149PT cell line exhibits</w:t>
      </w:r>
      <w:r>
        <w:rPr>
          <w:bCs/>
        </w:rPr>
        <w:t xml:space="preserve"> </w:t>
      </w:r>
      <w:r w:rsidRPr="00FC32CD">
        <w:rPr>
          <w:bCs/>
        </w:rPr>
        <w:t>deficient repair of oxidative DNA damage (ODD), and MCF7 control cell line shows functional repair.</w:t>
      </w:r>
    </w:p>
    <w:p w:rsidR="00C43E31" w:rsidRDefault="00C43E31" w:rsidP="00C43E31">
      <w:pPr>
        <w:pStyle w:val="Paragraph"/>
        <w:spacing w:line="480" w:lineRule="auto"/>
        <w:ind w:firstLine="0"/>
        <w:rPr>
          <w:b/>
        </w:rPr>
      </w:pPr>
    </w:p>
    <w:p w:rsidR="00C43E31" w:rsidRPr="008E6A58" w:rsidRDefault="00C43E31" w:rsidP="00C43E31">
      <w:pPr>
        <w:pStyle w:val="Paragraph"/>
        <w:spacing w:line="480" w:lineRule="auto"/>
        <w:ind w:firstLine="0"/>
      </w:pPr>
      <w:proofErr w:type="gramStart"/>
      <w:r>
        <w:rPr>
          <w:b/>
        </w:rPr>
        <w:lastRenderedPageBreak/>
        <w:t xml:space="preserve">Supplementary </w:t>
      </w:r>
      <w:r w:rsidRPr="00FC32CD">
        <w:rPr>
          <w:b/>
        </w:rPr>
        <w:t xml:space="preserve">Fig. </w:t>
      </w:r>
      <w:proofErr w:type="gramEnd"/>
      <w:r>
        <w:rPr>
          <w:b/>
        </w:rPr>
        <w:t>S</w:t>
      </w:r>
      <w:r w:rsidRPr="00FC32CD">
        <w:rPr>
          <w:b/>
        </w:rPr>
        <w:t xml:space="preserve">2. </w:t>
      </w:r>
      <w:r>
        <w:rPr>
          <w:b/>
        </w:rPr>
        <w:t xml:space="preserve"> </w:t>
      </w:r>
      <w:r w:rsidRPr="00FC32CD">
        <w:rPr>
          <w:b/>
          <w:bCs/>
        </w:rPr>
        <w:t xml:space="preserve">A preliminary screen identified </w:t>
      </w:r>
      <w:proofErr w:type="spellStart"/>
      <w:r w:rsidRPr="00FC32CD">
        <w:rPr>
          <w:b/>
          <w:bCs/>
        </w:rPr>
        <w:t>BrdU</w:t>
      </w:r>
      <w:proofErr w:type="spellEnd"/>
      <w:r w:rsidRPr="00FC32CD">
        <w:rPr>
          <w:b/>
          <w:bCs/>
        </w:rPr>
        <w:t xml:space="preserve"> as a small-molecule positive control.</w:t>
      </w:r>
      <w:r>
        <w:rPr>
          <w:bCs/>
        </w:rPr>
        <w:t xml:space="preserve">  </w:t>
      </w:r>
      <w:r w:rsidRPr="00FC32CD">
        <w:rPr>
          <w:b/>
          <w:bCs/>
        </w:rPr>
        <w:t>(</w:t>
      </w:r>
      <w:r>
        <w:rPr>
          <w:b/>
          <w:bCs/>
        </w:rPr>
        <w:t>A</w:t>
      </w:r>
      <w:r w:rsidRPr="00FC32CD">
        <w:rPr>
          <w:b/>
          <w:bCs/>
        </w:rPr>
        <w:t xml:space="preserve">)  </w:t>
      </w:r>
      <w:proofErr w:type="spellStart"/>
      <w:r w:rsidRPr="00FC32CD">
        <w:rPr>
          <w:b/>
          <w:bCs/>
        </w:rPr>
        <w:t>BrdU</w:t>
      </w:r>
      <w:proofErr w:type="spellEnd"/>
      <w:r w:rsidRPr="00FC32CD">
        <w:rPr>
          <w:b/>
          <w:bCs/>
        </w:rPr>
        <w:t xml:space="preserve"> in a preliminary screen.  </w:t>
      </w:r>
      <w:r w:rsidRPr="00FC32CD">
        <w:rPr>
          <w:bCs/>
        </w:rPr>
        <w:t xml:space="preserve">Using our HT-protocol, we screened a subset of compounds from LOPAC (Sigma-Aldrich) using SUM149PTcells infected with undamaged </w:t>
      </w:r>
      <w:proofErr w:type="spellStart"/>
      <w:r w:rsidRPr="00FC32CD">
        <w:rPr>
          <w:bCs/>
        </w:rPr>
        <w:t>adGFP</w:t>
      </w:r>
      <w:proofErr w:type="spellEnd"/>
      <w:r w:rsidRPr="00FC32CD">
        <w:rPr>
          <w:bCs/>
        </w:rPr>
        <w:t xml:space="preserve"> (PDT=0 </w:t>
      </w:r>
      <w:proofErr w:type="spellStart"/>
      <w:r w:rsidRPr="00FC32CD">
        <w:rPr>
          <w:bCs/>
        </w:rPr>
        <w:t>mins</w:t>
      </w:r>
      <w:proofErr w:type="spellEnd"/>
      <w:r w:rsidRPr="00FC32CD">
        <w:rPr>
          <w:bCs/>
        </w:rPr>
        <w:t xml:space="preserve">) as the positive control and SUM149PT cells infected with damaged ad-GFP (PDT=2 </w:t>
      </w:r>
      <w:proofErr w:type="spellStart"/>
      <w:r w:rsidRPr="00FC32CD">
        <w:rPr>
          <w:bCs/>
        </w:rPr>
        <w:t>mins</w:t>
      </w:r>
      <w:proofErr w:type="spellEnd"/>
      <w:r w:rsidRPr="00FC32CD">
        <w:rPr>
          <w:bCs/>
        </w:rPr>
        <w:t xml:space="preserve">) as the negative control.  The molecule that produced the greatest GFP signal was defined as the small-molecule positive control.  A montage of the images obtained from the 384-well plate at the highest concentration tested (18uM) is shown.  </w:t>
      </w:r>
      <w:proofErr w:type="spellStart"/>
      <w:r w:rsidRPr="00FC32CD">
        <w:rPr>
          <w:bCs/>
        </w:rPr>
        <w:t>BrdU</w:t>
      </w:r>
      <w:proofErr w:type="spellEnd"/>
      <w:r w:rsidRPr="00FC32CD">
        <w:rPr>
          <w:bCs/>
        </w:rPr>
        <w:t xml:space="preserve"> (red box) produced a visible signal similar to that of SUM149PTcells infected with undamaged </w:t>
      </w:r>
      <w:proofErr w:type="spellStart"/>
      <w:r w:rsidRPr="00FC32CD">
        <w:rPr>
          <w:bCs/>
        </w:rPr>
        <w:t>adGFP</w:t>
      </w:r>
      <w:proofErr w:type="spellEnd"/>
      <w:r w:rsidRPr="00FC32CD">
        <w:rPr>
          <w:bCs/>
        </w:rPr>
        <w:t xml:space="preserve">.  </w:t>
      </w:r>
      <w:r w:rsidRPr="00FC32CD">
        <w:rPr>
          <w:b/>
          <w:bCs/>
        </w:rPr>
        <w:t>(</w:t>
      </w:r>
      <w:r>
        <w:rPr>
          <w:b/>
          <w:bCs/>
        </w:rPr>
        <w:t>B</w:t>
      </w:r>
      <w:r w:rsidRPr="00FC32CD">
        <w:rPr>
          <w:b/>
          <w:bCs/>
        </w:rPr>
        <w:t xml:space="preserve">) Signal detection by imaging.  </w:t>
      </w:r>
      <w:proofErr w:type="spellStart"/>
      <w:r w:rsidRPr="00FC32CD">
        <w:rPr>
          <w:bCs/>
        </w:rPr>
        <w:t>Brd</w:t>
      </w:r>
      <w:r>
        <w:rPr>
          <w:bCs/>
        </w:rPr>
        <w:t>U</w:t>
      </w:r>
      <w:proofErr w:type="spellEnd"/>
      <w:r w:rsidRPr="00FC32CD">
        <w:rPr>
          <w:bCs/>
        </w:rPr>
        <w:t xml:space="preserve"> produced a dose-response increase in the percentage of GFP-positive cells (normalized to the number of Hoechst 33342-positive cells). </w:t>
      </w:r>
      <w:r w:rsidRPr="00FC32CD">
        <w:rPr>
          <w:b/>
          <w:bCs/>
        </w:rPr>
        <w:t>(</w:t>
      </w:r>
      <w:r>
        <w:rPr>
          <w:b/>
          <w:bCs/>
        </w:rPr>
        <w:t>C</w:t>
      </w:r>
      <w:r w:rsidRPr="00FC32CD">
        <w:rPr>
          <w:b/>
          <w:bCs/>
        </w:rPr>
        <w:t>) Signal detection by plate reading.</w:t>
      </w:r>
      <w:r w:rsidRPr="00FC32CD">
        <w:rPr>
          <w:bCs/>
        </w:rPr>
        <w:t xml:space="preserve">  </w:t>
      </w:r>
      <w:proofErr w:type="spellStart"/>
      <w:r w:rsidRPr="00FC32CD">
        <w:rPr>
          <w:bCs/>
        </w:rPr>
        <w:t>Brd</w:t>
      </w:r>
      <w:r>
        <w:rPr>
          <w:bCs/>
        </w:rPr>
        <w:t>U</w:t>
      </w:r>
      <w:proofErr w:type="spellEnd"/>
      <w:r w:rsidRPr="00FC32CD">
        <w:rPr>
          <w:bCs/>
        </w:rPr>
        <w:t xml:space="preserve"> produced a dose-response increase in GFP intensity (normalized to Hoechst 33342-intensity).</w:t>
      </w:r>
    </w:p>
    <w:p w:rsidR="00C43E31" w:rsidRDefault="00C43E31" w:rsidP="00C43E31">
      <w:pPr>
        <w:pStyle w:val="Paragraph"/>
        <w:spacing w:line="480" w:lineRule="auto"/>
        <w:ind w:firstLine="0"/>
        <w:rPr>
          <w:b/>
        </w:rPr>
      </w:pPr>
    </w:p>
    <w:p w:rsidR="00C43E31" w:rsidRPr="008E6A58" w:rsidRDefault="00C43E31" w:rsidP="00C43E31">
      <w:pPr>
        <w:pStyle w:val="Paragraph"/>
        <w:spacing w:line="480" w:lineRule="auto"/>
        <w:ind w:firstLine="0"/>
      </w:pPr>
      <w:proofErr w:type="gramStart"/>
      <w:r>
        <w:rPr>
          <w:b/>
        </w:rPr>
        <w:t xml:space="preserve">Supplementary </w:t>
      </w:r>
      <w:r w:rsidRPr="00FC32CD">
        <w:rPr>
          <w:b/>
        </w:rPr>
        <w:t xml:space="preserve">Fig. </w:t>
      </w:r>
      <w:proofErr w:type="gramEnd"/>
      <w:r>
        <w:rPr>
          <w:b/>
        </w:rPr>
        <w:t>S</w:t>
      </w:r>
      <w:r w:rsidRPr="00FC32CD">
        <w:rPr>
          <w:b/>
        </w:rPr>
        <w:t xml:space="preserve">3. </w:t>
      </w:r>
      <w:r>
        <w:rPr>
          <w:b/>
        </w:rPr>
        <w:t xml:space="preserve"> </w:t>
      </w:r>
      <w:proofErr w:type="gramStart"/>
      <w:r w:rsidRPr="00FC32CD">
        <w:rPr>
          <w:b/>
          <w:bCs/>
        </w:rPr>
        <w:t>Optimization of conditions for HT-screening</w:t>
      </w:r>
      <w:r w:rsidRPr="00FC32CD">
        <w:rPr>
          <w:bCs/>
        </w:rPr>
        <w:t>.</w:t>
      </w:r>
      <w:proofErr w:type="gramEnd"/>
      <w:r w:rsidRPr="00FC32CD">
        <w:rPr>
          <w:bCs/>
        </w:rPr>
        <w:t xml:space="preserve">  </w:t>
      </w:r>
      <w:r w:rsidRPr="00FC32CD">
        <w:rPr>
          <w:b/>
          <w:bCs/>
        </w:rPr>
        <w:t>(</w:t>
      </w:r>
      <w:r>
        <w:rPr>
          <w:b/>
          <w:bCs/>
        </w:rPr>
        <w:t>A</w:t>
      </w:r>
      <w:r w:rsidRPr="00FC32CD">
        <w:rPr>
          <w:b/>
          <w:bCs/>
        </w:rPr>
        <w:t>) Seeding density.</w:t>
      </w:r>
      <w:r w:rsidRPr="00FC32CD">
        <w:rPr>
          <w:bCs/>
        </w:rPr>
        <w:t xml:space="preserve"> Cells were plated in black-wall, clear-bottom, </w:t>
      </w:r>
      <w:proofErr w:type="gramStart"/>
      <w:r w:rsidRPr="00FC32CD">
        <w:rPr>
          <w:bCs/>
        </w:rPr>
        <w:t>384</w:t>
      </w:r>
      <w:proofErr w:type="gramEnd"/>
      <w:r w:rsidRPr="00FC32CD">
        <w:rPr>
          <w:bCs/>
        </w:rPr>
        <w:t xml:space="preserve">-well plates at 4000cells/well followed by 1:1 serial dilutions. Seeding density was defined to produce logarithmically growing cells after 4 days, which is consistent with the timing for the HT-screen, and was determined to be </w:t>
      </w:r>
      <w:proofErr w:type="gramStart"/>
      <w:r w:rsidRPr="00FC32CD">
        <w:rPr>
          <w:bCs/>
        </w:rPr>
        <w:t>750 cells/well</w:t>
      </w:r>
      <w:proofErr w:type="gramEnd"/>
      <w:r w:rsidRPr="00FC32CD">
        <w:rPr>
          <w:bCs/>
        </w:rPr>
        <w:t xml:space="preserve">.  </w:t>
      </w:r>
      <w:r w:rsidRPr="00FC32CD">
        <w:rPr>
          <w:b/>
          <w:bCs/>
        </w:rPr>
        <w:t>(</w:t>
      </w:r>
      <w:r>
        <w:rPr>
          <w:b/>
          <w:bCs/>
        </w:rPr>
        <w:t>B</w:t>
      </w:r>
      <w:r w:rsidRPr="00FC32CD">
        <w:rPr>
          <w:b/>
          <w:bCs/>
        </w:rPr>
        <w:t>) Determination of MOI.</w:t>
      </w:r>
      <w:r w:rsidRPr="00FC32CD">
        <w:rPr>
          <w:bCs/>
        </w:rPr>
        <w:t xml:space="preserve">  SUM149PT cells were seeded as described in (</w:t>
      </w:r>
      <w:r>
        <w:rPr>
          <w:bCs/>
        </w:rPr>
        <w:t>A</w:t>
      </w:r>
      <w:r w:rsidRPr="00FC32CD">
        <w:rPr>
          <w:bCs/>
        </w:rPr>
        <w:t xml:space="preserve">) and subjected to the screening protocol using mock reagents, but were infected with ad-GFP at M.O.I. = 100pfu/cell followed by 2-fold serial dilutions.  Infections were carried out in duplicate.  Optimal MOI was defined as the lowest amount of virus that delivered the greatest fluorescent signal by high-content imaging, and was determined to be 50pfu/ml, which is within the range specified by the manufacturer (i.e. 10-100pfu/ml).  </w:t>
      </w:r>
      <w:r w:rsidRPr="00FC32CD">
        <w:rPr>
          <w:b/>
          <w:bCs/>
        </w:rPr>
        <w:t>(</w:t>
      </w:r>
      <w:r>
        <w:rPr>
          <w:b/>
          <w:bCs/>
        </w:rPr>
        <w:t>C</w:t>
      </w:r>
      <w:r w:rsidRPr="00FC32CD">
        <w:rPr>
          <w:b/>
          <w:bCs/>
        </w:rPr>
        <w:t xml:space="preserve">) Optimization of Hoechst 33342 </w:t>
      </w:r>
      <w:r w:rsidRPr="00FC32CD">
        <w:rPr>
          <w:b/>
          <w:bCs/>
        </w:rPr>
        <w:lastRenderedPageBreak/>
        <w:t>concentration</w:t>
      </w:r>
      <w:r w:rsidRPr="00FC32CD">
        <w:rPr>
          <w:bCs/>
        </w:rPr>
        <w:t>. SUM149PT cells were seeded as described in (a) and subjected to the screening protocol using mock reagents, but were stained using 5μg/ml followed by 1:1 serial dilutions of Hoechst 33342. Optimal Hoechst 33342 concentration was defined to produce a significant signal above background for the complete population of cells and was determined to be 2µg/ml.</w:t>
      </w:r>
    </w:p>
    <w:p w:rsidR="00C43E31" w:rsidRDefault="00C43E31" w:rsidP="00C43E31">
      <w:pPr>
        <w:pStyle w:val="Refhead"/>
        <w:spacing w:line="480" w:lineRule="auto"/>
      </w:pPr>
    </w:p>
    <w:p w:rsidR="00C43E31" w:rsidRPr="00B00567" w:rsidRDefault="00C43E31" w:rsidP="00C43E31">
      <w:pPr>
        <w:pStyle w:val="Refhead"/>
        <w:spacing w:line="480" w:lineRule="auto"/>
      </w:pPr>
      <w:proofErr w:type="gramStart"/>
      <w:r>
        <w:t xml:space="preserve">Supplementary </w:t>
      </w:r>
      <w:r w:rsidRPr="00FC32CD">
        <w:t xml:space="preserve">Fig. </w:t>
      </w:r>
      <w:proofErr w:type="gramEnd"/>
      <w:r>
        <w:t>S</w:t>
      </w:r>
      <w:r w:rsidRPr="00FC32CD">
        <w:t>4.</w:t>
      </w:r>
      <w:r>
        <w:t xml:space="preserve"> </w:t>
      </w:r>
      <w:r w:rsidRPr="00FC32CD">
        <w:t xml:space="preserve"> </w:t>
      </w:r>
      <w:proofErr w:type="gramStart"/>
      <w:r w:rsidRPr="00FC32CD">
        <w:t>Validation of the HT screening protocol.</w:t>
      </w:r>
      <w:proofErr w:type="gramEnd"/>
      <w:r w:rsidRPr="00FC32CD">
        <w:t xml:space="preserve">  (a) Signal calculations.</w:t>
      </w:r>
      <w:r w:rsidRPr="00FC32CD">
        <w:rPr>
          <w:b w:val="0"/>
        </w:rPr>
        <w:t xml:space="preserve">  On day 0, cells were seeded in 384-well black-wall/clear bottom plates.  On day 1, cells were treated with 18uM </w:t>
      </w:r>
      <w:proofErr w:type="spellStart"/>
      <w:r w:rsidRPr="00FC32CD">
        <w:rPr>
          <w:b w:val="0"/>
        </w:rPr>
        <w:t>BrdU</w:t>
      </w:r>
      <w:proofErr w:type="spellEnd"/>
      <w:r w:rsidRPr="00FC32CD">
        <w:rPr>
          <w:b w:val="0"/>
        </w:rPr>
        <w:t xml:space="preserve"> (small-molecule positive control) or DMSO (vehicle, negative control), alternating every 4 columns.  On day 2, cells were infected with ad-GFP subjected to PDT for 2 minutes.  On day 3, fluorescence was measured using </w:t>
      </w:r>
      <w:proofErr w:type="spellStart"/>
      <w:r w:rsidRPr="00FC32CD">
        <w:rPr>
          <w:b w:val="0"/>
        </w:rPr>
        <w:t>MetaXpress</w:t>
      </w:r>
      <w:proofErr w:type="spellEnd"/>
      <w:r w:rsidRPr="00FC32CD">
        <w:rPr>
          <w:b w:val="0"/>
        </w:rPr>
        <w:t xml:space="preserve"> software (Molecular Devices).  GFP expression was calculated as % GFP-positive cells (GFP-positive cells/Hoechst 33342-positive cells x 100) to determine CV, S/B, and Z’-factor. </w:t>
      </w:r>
      <w:r w:rsidRPr="00FC32CD">
        <w:t>(B) Spatial uniformity assessment.</w:t>
      </w:r>
      <w:r w:rsidRPr="00FC32CD">
        <w:rPr>
          <w:b w:val="0"/>
        </w:rPr>
        <w:t xml:space="preserve"> Scatter plots reveal the number of GFP-positive cells for each positive control well (i.e. max signal; green) and negative control well (i.e. min signal; black) arranged by row, then column (top) or by column, then row (bottom).  No drift or edge effects were observed as evidenced by the lack of a significant trend in signal from left-to-right and top-to-bottom. Percent drift was calculated from the max signal.  </w:t>
      </w:r>
      <w:r w:rsidRPr="00FC32CD">
        <w:t>(C) Summary of acceptance criteria.</w:t>
      </w:r>
      <w:r w:rsidRPr="00FC32CD">
        <w:rPr>
          <w:b w:val="0"/>
        </w:rPr>
        <w:t xml:space="preserve">  Observed values for each validation parameter were compared to the accepted criteria as defined by the NIH Assay Guidance Manual for high-throughput screening</w:t>
      </w:r>
      <w:hyperlink w:anchor="_ENREF_1" w:tooltip=", 2004 #214" w:history="1"/>
      <w:r w:rsidRPr="00FC32CD">
        <w:rPr>
          <w:b w:val="0"/>
        </w:rPr>
        <w:t>.  All values were within acceptable range.</w:t>
      </w:r>
    </w:p>
    <w:p w:rsidR="00C43E31" w:rsidRDefault="00C43E31" w:rsidP="00C43E31">
      <w:pPr>
        <w:pStyle w:val="Refhead"/>
        <w:spacing w:line="480" w:lineRule="auto"/>
      </w:pPr>
    </w:p>
    <w:p w:rsidR="00C43E31" w:rsidRPr="005E402B" w:rsidRDefault="00C43E31" w:rsidP="00C43E31">
      <w:pPr>
        <w:pStyle w:val="Refhead"/>
        <w:spacing w:line="480" w:lineRule="auto"/>
      </w:pPr>
      <w:proofErr w:type="gramStart"/>
      <w:r>
        <w:t xml:space="preserve">Supplementary Fig. </w:t>
      </w:r>
      <w:proofErr w:type="gramEnd"/>
      <w:r>
        <w:t>S</w:t>
      </w:r>
      <w:r w:rsidRPr="003F61EA">
        <w:t>5.</w:t>
      </w:r>
      <w:r>
        <w:t xml:space="preserve"> </w:t>
      </w:r>
      <w:r w:rsidRPr="003F61EA">
        <w:t xml:space="preserve"> DNA repair-activating agents exhibit minimal cytotoxicity at concentrations that enhance BER of ODD.  </w:t>
      </w:r>
      <w:r w:rsidRPr="003F61EA">
        <w:rPr>
          <w:b w:val="0"/>
        </w:rPr>
        <w:t xml:space="preserve">DNA repair-activating agents exhibit minimal cytotoxicity at concentrations that enhance BER of ODD.  </w:t>
      </w:r>
      <w:r w:rsidRPr="003F61EA">
        <w:t xml:space="preserve">(A) Dose-response effect of </w:t>
      </w:r>
      <w:proofErr w:type="spellStart"/>
      <w:r w:rsidRPr="003F61EA">
        <w:lastRenderedPageBreak/>
        <w:t>acetohexamide</w:t>
      </w:r>
      <w:proofErr w:type="spellEnd"/>
      <w:r w:rsidRPr="003F61EA">
        <w:t xml:space="preserve"> on cell number.  </w:t>
      </w:r>
      <w:r w:rsidRPr="003F61EA">
        <w:rPr>
          <w:b w:val="0"/>
        </w:rPr>
        <w:t xml:space="preserve">The percentage of live SUM149 cells treated with increasing concentrations of </w:t>
      </w:r>
      <w:proofErr w:type="spellStart"/>
      <w:r w:rsidRPr="003F61EA">
        <w:rPr>
          <w:b w:val="0"/>
        </w:rPr>
        <w:t>acetohexamide</w:t>
      </w:r>
      <w:proofErr w:type="spellEnd"/>
      <w:r w:rsidRPr="003F61EA">
        <w:rPr>
          <w:b w:val="0"/>
        </w:rPr>
        <w:t xml:space="preserve"> for 48 hours was determined by Hoechst 33342 staining.  </w:t>
      </w:r>
      <w:r w:rsidRPr="003F61EA">
        <w:t xml:space="preserve">(B) Dose-response effect of </w:t>
      </w:r>
      <w:proofErr w:type="spellStart"/>
      <w:r w:rsidRPr="003F61EA">
        <w:t>benserazide</w:t>
      </w:r>
      <w:proofErr w:type="spellEnd"/>
      <w:r w:rsidRPr="003F61EA">
        <w:t xml:space="preserve"> on cell number.  </w:t>
      </w:r>
      <w:r w:rsidRPr="003F61EA">
        <w:rPr>
          <w:b w:val="0"/>
        </w:rPr>
        <w:t xml:space="preserve">The percentage of live SUM149 cells treated with increasing concentrations of </w:t>
      </w:r>
      <w:proofErr w:type="spellStart"/>
      <w:r w:rsidRPr="003F61EA">
        <w:rPr>
          <w:b w:val="0"/>
        </w:rPr>
        <w:t>benserazide</w:t>
      </w:r>
      <w:proofErr w:type="spellEnd"/>
      <w:r w:rsidRPr="003F61EA">
        <w:rPr>
          <w:b w:val="0"/>
        </w:rPr>
        <w:t xml:space="preserve"> for 48 hours was determined by Hoechst 33342 staining.  </w:t>
      </w:r>
      <w:r w:rsidRPr="003F61EA">
        <w:t xml:space="preserve">(C) Dose-response effect of </w:t>
      </w:r>
      <w:proofErr w:type="spellStart"/>
      <w:r w:rsidRPr="003F61EA">
        <w:t>acetohexamide</w:t>
      </w:r>
      <w:proofErr w:type="spellEnd"/>
      <w:r w:rsidRPr="003F61EA">
        <w:t xml:space="preserve"> on cell viability.</w:t>
      </w:r>
      <w:r w:rsidRPr="003F61EA">
        <w:rPr>
          <w:b w:val="0"/>
        </w:rPr>
        <w:t xml:space="preserve">  The cell viability of SUM149 cells treated with increasing concentrations of </w:t>
      </w:r>
      <w:proofErr w:type="spellStart"/>
      <w:r w:rsidRPr="003F61EA">
        <w:rPr>
          <w:b w:val="0"/>
        </w:rPr>
        <w:t>acetohexamide</w:t>
      </w:r>
      <w:proofErr w:type="spellEnd"/>
      <w:r w:rsidRPr="003F61EA">
        <w:rPr>
          <w:b w:val="0"/>
        </w:rPr>
        <w:t xml:space="preserve"> for 72 hours was determined by MTT assay.  </w:t>
      </w:r>
      <w:r w:rsidRPr="003F61EA">
        <w:t xml:space="preserve">(D) Dose-response effect of </w:t>
      </w:r>
      <w:proofErr w:type="spellStart"/>
      <w:r w:rsidRPr="003F61EA">
        <w:t>benserazide</w:t>
      </w:r>
      <w:proofErr w:type="spellEnd"/>
      <w:r w:rsidRPr="003F61EA">
        <w:t xml:space="preserve"> on cell viability.</w:t>
      </w:r>
      <w:r w:rsidRPr="003F61EA">
        <w:rPr>
          <w:b w:val="0"/>
        </w:rPr>
        <w:t xml:space="preserve"> The cell viability of SUM149 cells treated with increasing concentrations of </w:t>
      </w:r>
      <w:proofErr w:type="spellStart"/>
      <w:r w:rsidRPr="003F61EA">
        <w:rPr>
          <w:b w:val="0"/>
        </w:rPr>
        <w:t>benserazide</w:t>
      </w:r>
      <w:proofErr w:type="spellEnd"/>
      <w:r w:rsidRPr="003F61EA">
        <w:rPr>
          <w:b w:val="0"/>
        </w:rPr>
        <w:t xml:space="preserve"> for 72 hours was determined by MTT assay.  </w:t>
      </w:r>
      <w:r w:rsidRPr="003F61EA">
        <w:t xml:space="preserve">(E) Effect of </w:t>
      </w:r>
      <w:proofErr w:type="spellStart"/>
      <w:r w:rsidRPr="003F61EA">
        <w:t>acetohexamide</w:t>
      </w:r>
      <w:proofErr w:type="spellEnd"/>
      <w:r w:rsidRPr="003F61EA">
        <w:t xml:space="preserve"> on cell number in mutant </w:t>
      </w:r>
      <w:r w:rsidRPr="00CD1440">
        <w:rPr>
          <w:i/>
        </w:rPr>
        <w:t>BRCA1</w:t>
      </w:r>
      <w:r w:rsidRPr="003F61EA">
        <w:t xml:space="preserve"> cell lines.</w:t>
      </w:r>
      <w:r w:rsidRPr="003F61EA">
        <w:rPr>
          <w:b w:val="0"/>
        </w:rPr>
        <w:t xml:space="preserve">  The effect of 20µM </w:t>
      </w:r>
      <w:proofErr w:type="spellStart"/>
      <w:r w:rsidRPr="003F61EA">
        <w:rPr>
          <w:b w:val="0"/>
        </w:rPr>
        <w:t>acetohexamide</w:t>
      </w:r>
      <w:proofErr w:type="spellEnd"/>
      <w:r w:rsidRPr="003F61EA">
        <w:rPr>
          <w:b w:val="0"/>
        </w:rPr>
        <w:t xml:space="preserve"> on the percentage of live cells relative to the vehicle control in cell lines with mutant </w:t>
      </w:r>
      <w:r w:rsidRPr="003F61EA">
        <w:rPr>
          <w:b w:val="0"/>
          <w:i/>
        </w:rPr>
        <w:t>BRCA1</w:t>
      </w:r>
      <w:r w:rsidRPr="003F61EA">
        <w:rPr>
          <w:b w:val="0"/>
        </w:rPr>
        <w:t xml:space="preserve"> was determined by Hoechst 33342 staining.  Error bars represent the </w:t>
      </w:r>
      <w:proofErr w:type="spellStart"/>
      <w:r w:rsidRPr="003F61EA">
        <w:rPr>
          <w:b w:val="0"/>
        </w:rPr>
        <w:t>s.e.m</w:t>
      </w:r>
      <w:proofErr w:type="spellEnd"/>
      <w:r w:rsidRPr="003F61EA">
        <w:rPr>
          <w:b w:val="0"/>
        </w:rPr>
        <w:t>. of at least four independent experiments</w:t>
      </w:r>
      <w:r w:rsidRPr="003F61EA">
        <w:t xml:space="preserve">.  (F) Effect of </w:t>
      </w:r>
      <w:proofErr w:type="spellStart"/>
      <w:r w:rsidRPr="003F61EA">
        <w:t>benserazide</w:t>
      </w:r>
      <w:proofErr w:type="spellEnd"/>
      <w:r w:rsidRPr="003F61EA">
        <w:t xml:space="preserve"> on cell number in mutant </w:t>
      </w:r>
      <w:r w:rsidRPr="00CD1440">
        <w:rPr>
          <w:i/>
        </w:rPr>
        <w:t>BRCA1</w:t>
      </w:r>
      <w:r w:rsidRPr="003F61EA">
        <w:t xml:space="preserve"> cell lines.  </w:t>
      </w:r>
      <w:r w:rsidRPr="003F61EA">
        <w:rPr>
          <w:b w:val="0"/>
        </w:rPr>
        <w:t xml:space="preserve">The effect of 20µM </w:t>
      </w:r>
      <w:proofErr w:type="spellStart"/>
      <w:r w:rsidRPr="003F61EA">
        <w:rPr>
          <w:b w:val="0"/>
        </w:rPr>
        <w:t>benserazide</w:t>
      </w:r>
      <w:proofErr w:type="spellEnd"/>
      <w:r w:rsidRPr="003F61EA">
        <w:rPr>
          <w:b w:val="0"/>
        </w:rPr>
        <w:t xml:space="preserve"> on the percentage of live cells relative to the vehicle control in cell lines with mutant </w:t>
      </w:r>
      <w:r w:rsidRPr="003F61EA">
        <w:rPr>
          <w:b w:val="0"/>
          <w:i/>
        </w:rPr>
        <w:t>BRCA1</w:t>
      </w:r>
      <w:r w:rsidRPr="003F61EA">
        <w:rPr>
          <w:b w:val="0"/>
        </w:rPr>
        <w:t xml:space="preserve"> was determined by Hoechst 33342 staining</w:t>
      </w:r>
      <w:r w:rsidRPr="003F61EA">
        <w:t xml:space="preserve">.  (G) Effect of </w:t>
      </w:r>
      <w:proofErr w:type="spellStart"/>
      <w:r w:rsidRPr="003F61EA">
        <w:t>acetohexamide</w:t>
      </w:r>
      <w:proofErr w:type="spellEnd"/>
      <w:r w:rsidRPr="003F61EA">
        <w:t xml:space="preserve"> and </w:t>
      </w:r>
      <w:proofErr w:type="spellStart"/>
      <w:r w:rsidRPr="003F61EA">
        <w:t>benserazide</w:t>
      </w:r>
      <w:proofErr w:type="spellEnd"/>
      <w:r w:rsidRPr="003F61EA">
        <w:t xml:space="preserve"> on cell viability in breast cell lines.  </w:t>
      </w:r>
      <w:r w:rsidRPr="003F61EA">
        <w:rPr>
          <w:b w:val="0"/>
        </w:rPr>
        <w:t xml:space="preserve">The effect of 20µM </w:t>
      </w:r>
      <w:proofErr w:type="spellStart"/>
      <w:r w:rsidRPr="003F61EA">
        <w:rPr>
          <w:b w:val="0"/>
        </w:rPr>
        <w:t>acetohexamide</w:t>
      </w:r>
      <w:proofErr w:type="spellEnd"/>
      <w:r w:rsidRPr="003F61EA">
        <w:rPr>
          <w:b w:val="0"/>
        </w:rPr>
        <w:t xml:space="preserve"> or </w:t>
      </w:r>
      <w:proofErr w:type="spellStart"/>
      <w:r w:rsidRPr="003F61EA">
        <w:rPr>
          <w:b w:val="0"/>
        </w:rPr>
        <w:t>benserazide</w:t>
      </w:r>
      <w:proofErr w:type="spellEnd"/>
      <w:r w:rsidRPr="003F61EA">
        <w:rPr>
          <w:b w:val="0"/>
        </w:rPr>
        <w:t xml:space="preserve"> on cell viability relative to the vehicle control in SUM149 breast cancer cells (mutant </w:t>
      </w:r>
      <w:r w:rsidRPr="003F61EA">
        <w:rPr>
          <w:b w:val="0"/>
          <w:i/>
        </w:rPr>
        <w:t>BRCA1</w:t>
      </w:r>
      <w:r w:rsidRPr="003F61EA">
        <w:rPr>
          <w:b w:val="0"/>
        </w:rPr>
        <w:t xml:space="preserve">) and MCF10a normal-like breast cells (wild-type </w:t>
      </w:r>
      <w:r w:rsidRPr="003F61EA">
        <w:rPr>
          <w:b w:val="0"/>
          <w:i/>
        </w:rPr>
        <w:t>BRCA1</w:t>
      </w:r>
      <w:r w:rsidRPr="003F61EA">
        <w:rPr>
          <w:b w:val="0"/>
        </w:rPr>
        <w:t xml:space="preserve">) was determined by the MTT assay.   Unless otherwise indicated, all data are representative means ± </w:t>
      </w:r>
      <w:proofErr w:type="spellStart"/>
      <w:r w:rsidRPr="003F61EA">
        <w:rPr>
          <w:b w:val="0"/>
        </w:rPr>
        <w:t>s.d.</w:t>
      </w:r>
      <w:proofErr w:type="spellEnd"/>
    </w:p>
    <w:p w:rsidR="00C43E31" w:rsidRDefault="00C43E31" w:rsidP="00C43E31">
      <w:pPr>
        <w:pStyle w:val="Paragraph"/>
        <w:spacing w:line="480" w:lineRule="auto"/>
        <w:ind w:firstLine="0"/>
        <w:rPr>
          <w:u w:val="single"/>
        </w:rPr>
      </w:pPr>
    </w:p>
    <w:p w:rsidR="00C43E31" w:rsidRDefault="00C43E31" w:rsidP="00C43E31">
      <w:pPr>
        <w:pStyle w:val="Paragraph"/>
        <w:spacing w:line="480" w:lineRule="auto"/>
        <w:ind w:firstLine="0"/>
      </w:pPr>
    </w:p>
    <w:p w:rsidR="006B0A4A" w:rsidRDefault="006B0A4A"/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31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1531"/>
    <w:rsid w:val="0001596D"/>
    <w:rsid w:val="0001608D"/>
    <w:rsid w:val="000164BE"/>
    <w:rsid w:val="00016B34"/>
    <w:rsid w:val="00017EC6"/>
    <w:rsid w:val="00020314"/>
    <w:rsid w:val="000211B6"/>
    <w:rsid w:val="00030180"/>
    <w:rsid w:val="0003091F"/>
    <w:rsid w:val="000312CA"/>
    <w:rsid w:val="00032A0C"/>
    <w:rsid w:val="00035EB5"/>
    <w:rsid w:val="00036020"/>
    <w:rsid w:val="000377E8"/>
    <w:rsid w:val="00041EC0"/>
    <w:rsid w:val="00041EF1"/>
    <w:rsid w:val="00042593"/>
    <w:rsid w:val="00050234"/>
    <w:rsid w:val="00056ACA"/>
    <w:rsid w:val="00061BB5"/>
    <w:rsid w:val="00061E41"/>
    <w:rsid w:val="000635F8"/>
    <w:rsid w:val="00064E3A"/>
    <w:rsid w:val="00065024"/>
    <w:rsid w:val="000715E2"/>
    <w:rsid w:val="0007296D"/>
    <w:rsid w:val="00073889"/>
    <w:rsid w:val="000744B7"/>
    <w:rsid w:val="000747E1"/>
    <w:rsid w:val="00075631"/>
    <w:rsid w:val="00077EBC"/>
    <w:rsid w:val="00085B86"/>
    <w:rsid w:val="00085D96"/>
    <w:rsid w:val="000873CD"/>
    <w:rsid w:val="00087B98"/>
    <w:rsid w:val="00091223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3A4"/>
    <w:rsid w:val="000B2FE2"/>
    <w:rsid w:val="000B3E93"/>
    <w:rsid w:val="000B58CF"/>
    <w:rsid w:val="000B61A0"/>
    <w:rsid w:val="000B6EC5"/>
    <w:rsid w:val="000C0457"/>
    <w:rsid w:val="000C2F04"/>
    <w:rsid w:val="000C53F7"/>
    <w:rsid w:val="000C6E99"/>
    <w:rsid w:val="000D1CB3"/>
    <w:rsid w:val="000D20AA"/>
    <w:rsid w:val="000D6AC5"/>
    <w:rsid w:val="000E13C5"/>
    <w:rsid w:val="000E225D"/>
    <w:rsid w:val="000E49F5"/>
    <w:rsid w:val="000E5233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5A8F"/>
    <w:rsid w:val="00112778"/>
    <w:rsid w:val="00113E89"/>
    <w:rsid w:val="00117880"/>
    <w:rsid w:val="00121FF5"/>
    <w:rsid w:val="0012214B"/>
    <w:rsid w:val="0012343A"/>
    <w:rsid w:val="00125B75"/>
    <w:rsid w:val="00127968"/>
    <w:rsid w:val="00127C41"/>
    <w:rsid w:val="0013052B"/>
    <w:rsid w:val="00133A1C"/>
    <w:rsid w:val="00133D63"/>
    <w:rsid w:val="0013455D"/>
    <w:rsid w:val="001348C5"/>
    <w:rsid w:val="001355A9"/>
    <w:rsid w:val="00136DB2"/>
    <w:rsid w:val="0013749B"/>
    <w:rsid w:val="00142303"/>
    <w:rsid w:val="001431F8"/>
    <w:rsid w:val="00143333"/>
    <w:rsid w:val="00143CBE"/>
    <w:rsid w:val="00145200"/>
    <w:rsid w:val="00145A1E"/>
    <w:rsid w:val="00146043"/>
    <w:rsid w:val="0014726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423A"/>
    <w:rsid w:val="00180978"/>
    <w:rsid w:val="00180F86"/>
    <w:rsid w:val="00181263"/>
    <w:rsid w:val="00181E38"/>
    <w:rsid w:val="00183A32"/>
    <w:rsid w:val="001849E3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7A30"/>
    <w:rsid w:val="001D0408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5179"/>
    <w:rsid w:val="00255D17"/>
    <w:rsid w:val="00256CD0"/>
    <w:rsid w:val="0026073F"/>
    <w:rsid w:val="00265BF4"/>
    <w:rsid w:val="0027178D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2E0A"/>
    <w:rsid w:val="00297A42"/>
    <w:rsid w:val="00297A47"/>
    <w:rsid w:val="00297EDD"/>
    <w:rsid w:val="002A16BB"/>
    <w:rsid w:val="002A1CF9"/>
    <w:rsid w:val="002A3CE0"/>
    <w:rsid w:val="002B37B3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E1C14"/>
    <w:rsid w:val="002E49DF"/>
    <w:rsid w:val="002E6E32"/>
    <w:rsid w:val="002F0124"/>
    <w:rsid w:val="002F030F"/>
    <w:rsid w:val="002F293C"/>
    <w:rsid w:val="002F32E4"/>
    <w:rsid w:val="002F480D"/>
    <w:rsid w:val="00301A84"/>
    <w:rsid w:val="00301F0F"/>
    <w:rsid w:val="00303090"/>
    <w:rsid w:val="0030485D"/>
    <w:rsid w:val="00304BAB"/>
    <w:rsid w:val="00304C26"/>
    <w:rsid w:val="003109A6"/>
    <w:rsid w:val="0031164F"/>
    <w:rsid w:val="00312378"/>
    <w:rsid w:val="003135B8"/>
    <w:rsid w:val="00314DF9"/>
    <w:rsid w:val="00315AA9"/>
    <w:rsid w:val="00315E15"/>
    <w:rsid w:val="0032026B"/>
    <w:rsid w:val="003218B1"/>
    <w:rsid w:val="00321CAE"/>
    <w:rsid w:val="003221D2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456D"/>
    <w:rsid w:val="003A46FB"/>
    <w:rsid w:val="003A62AA"/>
    <w:rsid w:val="003A6559"/>
    <w:rsid w:val="003A6870"/>
    <w:rsid w:val="003B129F"/>
    <w:rsid w:val="003B258C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D04B9"/>
    <w:rsid w:val="003D0FEE"/>
    <w:rsid w:val="003D2B58"/>
    <w:rsid w:val="003D5929"/>
    <w:rsid w:val="003D5A9C"/>
    <w:rsid w:val="003E0324"/>
    <w:rsid w:val="003E1697"/>
    <w:rsid w:val="003E2430"/>
    <w:rsid w:val="003E4B67"/>
    <w:rsid w:val="003E57B9"/>
    <w:rsid w:val="003E6592"/>
    <w:rsid w:val="003E7F92"/>
    <w:rsid w:val="003F02FA"/>
    <w:rsid w:val="003F1116"/>
    <w:rsid w:val="003F36D8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972"/>
    <w:rsid w:val="00406732"/>
    <w:rsid w:val="00406C01"/>
    <w:rsid w:val="00410074"/>
    <w:rsid w:val="00411B47"/>
    <w:rsid w:val="00414AC6"/>
    <w:rsid w:val="00415376"/>
    <w:rsid w:val="0041618A"/>
    <w:rsid w:val="00416492"/>
    <w:rsid w:val="00416628"/>
    <w:rsid w:val="0041723E"/>
    <w:rsid w:val="00417620"/>
    <w:rsid w:val="00421689"/>
    <w:rsid w:val="00424F6C"/>
    <w:rsid w:val="00425082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60906"/>
    <w:rsid w:val="00462568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7BE6"/>
    <w:rsid w:val="004804E2"/>
    <w:rsid w:val="0048343C"/>
    <w:rsid w:val="00483901"/>
    <w:rsid w:val="00484B16"/>
    <w:rsid w:val="00484F50"/>
    <w:rsid w:val="004857E5"/>
    <w:rsid w:val="00486B65"/>
    <w:rsid w:val="00486D79"/>
    <w:rsid w:val="00490C9D"/>
    <w:rsid w:val="004937EF"/>
    <w:rsid w:val="0049438D"/>
    <w:rsid w:val="004A26D3"/>
    <w:rsid w:val="004A435B"/>
    <w:rsid w:val="004A49C0"/>
    <w:rsid w:val="004A4DE8"/>
    <w:rsid w:val="004A5F46"/>
    <w:rsid w:val="004A6E83"/>
    <w:rsid w:val="004B1829"/>
    <w:rsid w:val="004B34EA"/>
    <w:rsid w:val="004B49A9"/>
    <w:rsid w:val="004B5382"/>
    <w:rsid w:val="004B7850"/>
    <w:rsid w:val="004B7C1C"/>
    <w:rsid w:val="004C33D8"/>
    <w:rsid w:val="004C425A"/>
    <w:rsid w:val="004C44AE"/>
    <w:rsid w:val="004C4A94"/>
    <w:rsid w:val="004C52AD"/>
    <w:rsid w:val="004C6854"/>
    <w:rsid w:val="004C78B6"/>
    <w:rsid w:val="004D03C3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6A19"/>
    <w:rsid w:val="00500135"/>
    <w:rsid w:val="00502023"/>
    <w:rsid w:val="00502043"/>
    <w:rsid w:val="00502139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C32"/>
    <w:rsid w:val="00523D59"/>
    <w:rsid w:val="00525F7C"/>
    <w:rsid w:val="00534E8E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202C"/>
    <w:rsid w:val="005A00AE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D3E8C"/>
    <w:rsid w:val="005D4259"/>
    <w:rsid w:val="005D7CFF"/>
    <w:rsid w:val="005D7F89"/>
    <w:rsid w:val="005E0501"/>
    <w:rsid w:val="005E316D"/>
    <w:rsid w:val="005E3B67"/>
    <w:rsid w:val="005E3F3D"/>
    <w:rsid w:val="005E6644"/>
    <w:rsid w:val="005E750D"/>
    <w:rsid w:val="005F03A8"/>
    <w:rsid w:val="005F1968"/>
    <w:rsid w:val="005F2BC4"/>
    <w:rsid w:val="005F4208"/>
    <w:rsid w:val="005F4B51"/>
    <w:rsid w:val="005F4E09"/>
    <w:rsid w:val="005F4FB8"/>
    <w:rsid w:val="005F750A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841"/>
    <w:rsid w:val="0066175D"/>
    <w:rsid w:val="00671128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5719"/>
    <w:rsid w:val="006B05FE"/>
    <w:rsid w:val="006B0A4A"/>
    <w:rsid w:val="006B1644"/>
    <w:rsid w:val="006B31D0"/>
    <w:rsid w:val="006B3FED"/>
    <w:rsid w:val="006B49D9"/>
    <w:rsid w:val="006B51ED"/>
    <w:rsid w:val="006B74BE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7A2E"/>
    <w:rsid w:val="006F7AF5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3510"/>
    <w:rsid w:val="00765B21"/>
    <w:rsid w:val="0077031E"/>
    <w:rsid w:val="00773DE8"/>
    <w:rsid w:val="00774F17"/>
    <w:rsid w:val="00776D2E"/>
    <w:rsid w:val="0077762F"/>
    <w:rsid w:val="00783163"/>
    <w:rsid w:val="007851E2"/>
    <w:rsid w:val="00786258"/>
    <w:rsid w:val="007870B9"/>
    <w:rsid w:val="007871B3"/>
    <w:rsid w:val="007904EE"/>
    <w:rsid w:val="00792AF1"/>
    <w:rsid w:val="00793BA5"/>
    <w:rsid w:val="00794483"/>
    <w:rsid w:val="0079517C"/>
    <w:rsid w:val="00795422"/>
    <w:rsid w:val="007962C3"/>
    <w:rsid w:val="007A1F72"/>
    <w:rsid w:val="007A2E5D"/>
    <w:rsid w:val="007A3510"/>
    <w:rsid w:val="007A56BE"/>
    <w:rsid w:val="007A62C4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BAC"/>
    <w:rsid w:val="007F7DE4"/>
    <w:rsid w:val="008010E9"/>
    <w:rsid w:val="00801753"/>
    <w:rsid w:val="00801A80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23554"/>
    <w:rsid w:val="00823934"/>
    <w:rsid w:val="00823E3D"/>
    <w:rsid w:val="00824013"/>
    <w:rsid w:val="00826624"/>
    <w:rsid w:val="00831188"/>
    <w:rsid w:val="00835519"/>
    <w:rsid w:val="00835681"/>
    <w:rsid w:val="0083654E"/>
    <w:rsid w:val="008365C9"/>
    <w:rsid w:val="00837C47"/>
    <w:rsid w:val="00837C52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762D"/>
    <w:rsid w:val="008579AB"/>
    <w:rsid w:val="00861102"/>
    <w:rsid w:val="0086315F"/>
    <w:rsid w:val="00863C85"/>
    <w:rsid w:val="00866B0A"/>
    <w:rsid w:val="008671B2"/>
    <w:rsid w:val="00870A2F"/>
    <w:rsid w:val="00872250"/>
    <w:rsid w:val="00872BAE"/>
    <w:rsid w:val="008739E5"/>
    <w:rsid w:val="00874326"/>
    <w:rsid w:val="008759D2"/>
    <w:rsid w:val="00877BCB"/>
    <w:rsid w:val="00880456"/>
    <w:rsid w:val="008820F9"/>
    <w:rsid w:val="008861E8"/>
    <w:rsid w:val="00886C03"/>
    <w:rsid w:val="00886EC8"/>
    <w:rsid w:val="00887A3C"/>
    <w:rsid w:val="00887B1E"/>
    <w:rsid w:val="008951ED"/>
    <w:rsid w:val="008A1347"/>
    <w:rsid w:val="008A14F1"/>
    <w:rsid w:val="008A354F"/>
    <w:rsid w:val="008A38A3"/>
    <w:rsid w:val="008A41C0"/>
    <w:rsid w:val="008A78B7"/>
    <w:rsid w:val="008B2305"/>
    <w:rsid w:val="008B3115"/>
    <w:rsid w:val="008B34E9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E0DE1"/>
    <w:rsid w:val="008E0E0F"/>
    <w:rsid w:val="008E0F50"/>
    <w:rsid w:val="008E132E"/>
    <w:rsid w:val="008E3553"/>
    <w:rsid w:val="008E4CE4"/>
    <w:rsid w:val="008E58F6"/>
    <w:rsid w:val="008F07B8"/>
    <w:rsid w:val="008F3ABB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F7A"/>
    <w:rsid w:val="00934107"/>
    <w:rsid w:val="00934A2D"/>
    <w:rsid w:val="00936114"/>
    <w:rsid w:val="00936FA2"/>
    <w:rsid w:val="009374B9"/>
    <w:rsid w:val="009406A9"/>
    <w:rsid w:val="00940AC7"/>
    <w:rsid w:val="00940D2A"/>
    <w:rsid w:val="00945B4C"/>
    <w:rsid w:val="00945E42"/>
    <w:rsid w:val="00946690"/>
    <w:rsid w:val="00947B14"/>
    <w:rsid w:val="00950091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18E3"/>
    <w:rsid w:val="009844B8"/>
    <w:rsid w:val="00986356"/>
    <w:rsid w:val="009863D0"/>
    <w:rsid w:val="009878E3"/>
    <w:rsid w:val="00987C08"/>
    <w:rsid w:val="0099204B"/>
    <w:rsid w:val="0099495E"/>
    <w:rsid w:val="009A40E4"/>
    <w:rsid w:val="009A48C7"/>
    <w:rsid w:val="009A50AF"/>
    <w:rsid w:val="009A527F"/>
    <w:rsid w:val="009A5FE8"/>
    <w:rsid w:val="009B1293"/>
    <w:rsid w:val="009B1E39"/>
    <w:rsid w:val="009B24D5"/>
    <w:rsid w:val="009B2688"/>
    <w:rsid w:val="009B3428"/>
    <w:rsid w:val="009B3788"/>
    <w:rsid w:val="009B3EF5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78CB"/>
    <w:rsid w:val="009C7A73"/>
    <w:rsid w:val="009C7D28"/>
    <w:rsid w:val="009D0863"/>
    <w:rsid w:val="009D1AA8"/>
    <w:rsid w:val="009D5156"/>
    <w:rsid w:val="009D6344"/>
    <w:rsid w:val="009E05D3"/>
    <w:rsid w:val="009E18CA"/>
    <w:rsid w:val="009E2475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27D0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6C9"/>
    <w:rsid w:val="00A368A5"/>
    <w:rsid w:val="00A37037"/>
    <w:rsid w:val="00A37DAD"/>
    <w:rsid w:val="00A40C9F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7588"/>
    <w:rsid w:val="00AB763D"/>
    <w:rsid w:val="00AC2936"/>
    <w:rsid w:val="00AC66C2"/>
    <w:rsid w:val="00AC70D9"/>
    <w:rsid w:val="00AD01B8"/>
    <w:rsid w:val="00AD1042"/>
    <w:rsid w:val="00AD241A"/>
    <w:rsid w:val="00AD58B2"/>
    <w:rsid w:val="00AE12B9"/>
    <w:rsid w:val="00AE27A1"/>
    <w:rsid w:val="00AE6313"/>
    <w:rsid w:val="00AE6C2B"/>
    <w:rsid w:val="00AF07A6"/>
    <w:rsid w:val="00AF1F65"/>
    <w:rsid w:val="00AF2137"/>
    <w:rsid w:val="00AF2528"/>
    <w:rsid w:val="00AF2C83"/>
    <w:rsid w:val="00AF515A"/>
    <w:rsid w:val="00AF66A1"/>
    <w:rsid w:val="00AF7902"/>
    <w:rsid w:val="00B0061A"/>
    <w:rsid w:val="00B03EE2"/>
    <w:rsid w:val="00B04555"/>
    <w:rsid w:val="00B0491B"/>
    <w:rsid w:val="00B05731"/>
    <w:rsid w:val="00B07F21"/>
    <w:rsid w:val="00B11532"/>
    <w:rsid w:val="00B12962"/>
    <w:rsid w:val="00B1460D"/>
    <w:rsid w:val="00B14F19"/>
    <w:rsid w:val="00B14FD9"/>
    <w:rsid w:val="00B1559F"/>
    <w:rsid w:val="00B16EA5"/>
    <w:rsid w:val="00B20C6E"/>
    <w:rsid w:val="00B21682"/>
    <w:rsid w:val="00B235DC"/>
    <w:rsid w:val="00B24279"/>
    <w:rsid w:val="00B244FC"/>
    <w:rsid w:val="00B25D26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4100E"/>
    <w:rsid w:val="00B4146C"/>
    <w:rsid w:val="00B45117"/>
    <w:rsid w:val="00B45EF5"/>
    <w:rsid w:val="00B47B9C"/>
    <w:rsid w:val="00B50A5D"/>
    <w:rsid w:val="00B5304C"/>
    <w:rsid w:val="00B5570C"/>
    <w:rsid w:val="00B557C7"/>
    <w:rsid w:val="00B56B01"/>
    <w:rsid w:val="00B57512"/>
    <w:rsid w:val="00B60937"/>
    <w:rsid w:val="00B61298"/>
    <w:rsid w:val="00B64590"/>
    <w:rsid w:val="00B6459B"/>
    <w:rsid w:val="00B67BA8"/>
    <w:rsid w:val="00B725B4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4A33"/>
    <w:rsid w:val="00B84AE1"/>
    <w:rsid w:val="00B87049"/>
    <w:rsid w:val="00B87DD3"/>
    <w:rsid w:val="00B90110"/>
    <w:rsid w:val="00B907F6"/>
    <w:rsid w:val="00B90CDD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7FAC"/>
    <w:rsid w:val="00BC1B45"/>
    <w:rsid w:val="00BC1D51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D2"/>
    <w:rsid w:val="00C30F59"/>
    <w:rsid w:val="00C31492"/>
    <w:rsid w:val="00C319B5"/>
    <w:rsid w:val="00C4052B"/>
    <w:rsid w:val="00C42E8B"/>
    <w:rsid w:val="00C4398C"/>
    <w:rsid w:val="00C43E31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E4B"/>
    <w:rsid w:val="00C568D2"/>
    <w:rsid w:val="00C607D9"/>
    <w:rsid w:val="00C64D22"/>
    <w:rsid w:val="00C64D38"/>
    <w:rsid w:val="00C6648A"/>
    <w:rsid w:val="00C667A6"/>
    <w:rsid w:val="00C67AC0"/>
    <w:rsid w:val="00C72551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B15B1"/>
    <w:rsid w:val="00CB216D"/>
    <w:rsid w:val="00CB4A52"/>
    <w:rsid w:val="00CB5664"/>
    <w:rsid w:val="00CB5778"/>
    <w:rsid w:val="00CB6721"/>
    <w:rsid w:val="00CB71FA"/>
    <w:rsid w:val="00CC1C8C"/>
    <w:rsid w:val="00CC3B26"/>
    <w:rsid w:val="00CC6E3E"/>
    <w:rsid w:val="00CC74B1"/>
    <w:rsid w:val="00CD5551"/>
    <w:rsid w:val="00CD74F4"/>
    <w:rsid w:val="00CE0BE0"/>
    <w:rsid w:val="00CE1516"/>
    <w:rsid w:val="00CE1F09"/>
    <w:rsid w:val="00CE7D6B"/>
    <w:rsid w:val="00CF0F6F"/>
    <w:rsid w:val="00CF26C1"/>
    <w:rsid w:val="00CF353D"/>
    <w:rsid w:val="00CF3EBE"/>
    <w:rsid w:val="00CF4EA7"/>
    <w:rsid w:val="00CF76C7"/>
    <w:rsid w:val="00D010C7"/>
    <w:rsid w:val="00D0138F"/>
    <w:rsid w:val="00D01EDF"/>
    <w:rsid w:val="00D02BAD"/>
    <w:rsid w:val="00D02D7F"/>
    <w:rsid w:val="00D0347D"/>
    <w:rsid w:val="00D0392E"/>
    <w:rsid w:val="00D03BC6"/>
    <w:rsid w:val="00D110A7"/>
    <w:rsid w:val="00D1566C"/>
    <w:rsid w:val="00D15EDE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550B"/>
    <w:rsid w:val="00D817DA"/>
    <w:rsid w:val="00D84D54"/>
    <w:rsid w:val="00D86C3F"/>
    <w:rsid w:val="00D90921"/>
    <w:rsid w:val="00D91272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490B"/>
    <w:rsid w:val="00DC7FA4"/>
    <w:rsid w:val="00DD0067"/>
    <w:rsid w:val="00DD02AB"/>
    <w:rsid w:val="00DD0F58"/>
    <w:rsid w:val="00DE0741"/>
    <w:rsid w:val="00DE07A2"/>
    <w:rsid w:val="00DE0BD8"/>
    <w:rsid w:val="00DE5776"/>
    <w:rsid w:val="00DE6328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614A"/>
    <w:rsid w:val="00E10BBA"/>
    <w:rsid w:val="00E10D58"/>
    <w:rsid w:val="00E110DF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797B"/>
    <w:rsid w:val="00E37CA4"/>
    <w:rsid w:val="00E40739"/>
    <w:rsid w:val="00E427BF"/>
    <w:rsid w:val="00E42D89"/>
    <w:rsid w:val="00E43828"/>
    <w:rsid w:val="00E43A8B"/>
    <w:rsid w:val="00E45911"/>
    <w:rsid w:val="00E463C0"/>
    <w:rsid w:val="00E46416"/>
    <w:rsid w:val="00E46CB2"/>
    <w:rsid w:val="00E473C1"/>
    <w:rsid w:val="00E47D4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70052"/>
    <w:rsid w:val="00E72F55"/>
    <w:rsid w:val="00E7364B"/>
    <w:rsid w:val="00E73C2F"/>
    <w:rsid w:val="00E752CC"/>
    <w:rsid w:val="00E759B0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7649"/>
    <w:rsid w:val="00E8773B"/>
    <w:rsid w:val="00E957D6"/>
    <w:rsid w:val="00E95A1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F58"/>
    <w:rsid w:val="00EB7DC7"/>
    <w:rsid w:val="00EC3431"/>
    <w:rsid w:val="00EC7756"/>
    <w:rsid w:val="00ED1D16"/>
    <w:rsid w:val="00ED2EAB"/>
    <w:rsid w:val="00ED38D5"/>
    <w:rsid w:val="00ED418C"/>
    <w:rsid w:val="00ED5315"/>
    <w:rsid w:val="00ED7495"/>
    <w:rsid w:val="00ED7AC6"/>
    <w:rsid w:val="00ED7C71"/>
    <w:rsid w:val="00ED7DB7"/>
    <w:rsid w:val="00EE0CE5"/>
    <w:rsid w:val="00EE22B7"/>
    <w:rsid w:val="00EE42C2"/>
    <w:rsid w:val="00EE5630"/>
    <w:rsid w:val="00EE592E"/>
    <w:rsid w:val="00EF0084"/>
    <w:rsid w:val="00EF20F7"/>
    <w:rsid w:val="00EF426D"/>
    <w:rsid w:val="00EF65AE"/>
    <w:rsid w:val="00EF7FB1"/>
    <w:rsid w:val="00F02AA8"/>
    <w:rsid w:val="00F042EE"/>
    <w:rsid w:val="00F05188"/>
    <w:rsid w:val="00F05AEB"/>
    <w:rsid w:val="00F07C86"/>
    <w:rsid w:val="00F10467"/>
    <w:rsid w:val="00F1181B"/>
    <w:rsid w:val="00F119FE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2038"/>
    <w:rsid w:val="00F33197"/>
    <w:rsid w:val="00F3521D"/>
    <w:rsid w:val="00F370A7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42E0"/>
    <w:rsid w:val="00F75369"/>
    <w:rsid w:val="00F754CB"/>
    <w:rsid w:val="00F77BD0"/>
    <w:rsid w:val="00F803A7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926"/>
    <w:rsid w:val="00FA6977"/>
    <w:rsid w:val="00FA7DD3"/>
    <w:rsid w:val="00FB042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3E31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head">
    <w:name w:val="Ref head"/>
    <w:basedOn w:val="Normal"/>
    <w:rsid w:val="00C43E31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3E31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head">
    <w:name w:val="Ref head"/>
    <w:basedOn w:val="Normal"/>
    <w:rsid w:val="00C43E31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2014-09-04T16:30:00Z</dcterms:created>
  <dcterms:modified xsi:type="dcterms:W3CDTF">2014-09-04T16:31:00Z</dcterms:modified>
</cp:coreProperties>
</file>