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93" w:rsidRPr="00BE1B93" w:rsidRDefault="00BE1B93" w:rsidP="00BE1B93">
      <w:pPr>
        <w:bidi w:val="0"/>
        <w:ind w:left="-993"/>
        <w:jc w:val="both"/>
        <w:rPr>
          <w:rFonts w:asciiTheme="majorBidi" w:hAnsiTheme="majorBidi" w:cstheme="majorBidi"/>
          <w:sz w:val="24"/>
          <w:szCs w:val="24"/>
        </w:rPr>
      </w:pPr>
      <w:proofErr w:type="gramStart"/>
      <w:r w:rsidRPr="00BE1B93">
        <w:rPr>
          <w:rFonts w:asciiTheme="majorBidi" w:hAnsiTheme="majorBidi" w:cstheme="majorBidi"/>
          <w:b/>
          <w:bCs/>
          <w:sz w:val="24"/>
          <w:szCs w:val="24"/>
        </w:rPr>
        <w:t>Supplementary Figure S1.</w:t>
      </w:r>
      <w:proofErr w:type="gramEnd"/>
      <w:r w:rsidRPr="00BE1B93">
        <w:rPr>
          <w:rFonts w:asciiTheme="majorBidi" w:hAnsiTheme="majorBidi" w:cstheme="majorBidi"/>
          <w:b/>
          <w:bCs/>
          <w:sz w:val="24"/>
          <w:szCs w:val="24"/>
        </w:rPr>
        <w:t xml:space="preserve"> </w:t>
      </w:r>
    </w:p>
    <w:p w:rsidR="00BE1B93" w:rsidRDefault="00BE1B93" w:rsidP="00947A79">
      <w:pPr>
        <w:bidi w:val="0"/>
        <w:ind w:left="-993"/>
        <w:jc w:val="both"/>
        <w:rPr>
          <w:rFonts w:asciiTheme="majorBidi" w:hAnsiTheme="majorBidi" w:cstheme="majorBidi"/>
          <w:sz w:val="24"/>
          <w:szCs w:val="24"/>
        </w:rPr>
      </w:pPr>
      <w:r w:rsidRPr="00BE1B93">
        <w:rPr>
          <w:rFonts w:asciiTheme="majorBidi" w:hAnsiTheme="majorBidi" w:cstheme="majorBidi"/>
          <w:sz w:val="24"/>
          <w:szCs w:val="24"/>
        </w:rPr>
        <w:t xml:space="preserve">5FU and CPT11 display opposite effects on β-catenin localization in CRC colons. Colons isolated from normal and CRC-mice </w:t>
      </w:r>
      <w:r w:rsidR="00947A79">
        <w:rPr>
          <w:rFonts w:asciiTheme="majorBidi" w:hAnsiTheme="majorBidi" w:cstheme="majorBidi"/>
          <w:sz w:val="24"/>
          <w:szCs w:val="24"/>
        </w:rPr>
        <w:t>un</w:t>
      </w:r>
      <w:r w:rsidRPr="00BE1B93">
        <w:rPr>
          <w:rFonts w:asciiTheme="majorBidi" w:hAnsiTheme="majorBidi" w:cstheme="majorBidi"/>
          <w:sz w:val="24"/>
          <w:szCs w:val="24"/>
        </w:rPr>
        <w:t xml:space="preserve">treated (CRC) or treated with 5FU or CPT11 were subjected to </w:t>
      </w:r>
      <w:proofErr w:type="spellStart"/>
      <w:r w:rsidRPr="00BE1B93">
        <w:rPr>
          <w:rFonts w:asciiTheme="majorBidi" w:hAnsiTheme="majorBidi" w:cstheme="majorBidi"/>
          <w:sz w:val="24"/>
          <w:szCs w:val="24"/>
        </w:rPr>
        <w:t>immunohistological</w:t>
      </w:r>
      <w:proofErr w:type="spellEnd"/>
      <w:r w:rsidRPr="00BE1B93">
        <w:rPr>
          <w:rFonts w:asciiTheme="majorBidi" w:hAnsiTheme="majorBidi" w:cstheme="majorBidi"/>
          <w:sz w:val="24"/>
          <w:szCs w:val="24"/>
        </w:rPr>
        <w:t xml:space="preserve"> staining with anti-β-catenin antibodies, as described in the methods. A representative section from 4 independent animals analyzed in each experimental group is shown here, original magnification, x200.</w:t>
      </w:r>
    </w:p>
    <w:p w:rsidR="00BE1B93" w:rsidRPr="00BE1B93" w:rsidRDefault="00BE1B93" w:rsidP="00BE1B93">
      <w:pPr>
        <w:bidi w:val="0"/>
        <w:ind w:left="-993"/>
        <w:jc w:val="both"/>
        <w:rPr>
          <w:rFonts w:asciiTheme="majorBidi" w:hAnsiTheme="majorBidi" w:cstheme="majorBidi"/>
          <w:sz w:val="24"/>
          <w:szCs w:val="24"/>
          <w:rtl/>
        </w:rPr>
      </w:pPr>
    </w:p>
    <w:p w:rsidR="00BE1B93" w:rsidRPr="00BE1B93" w:rsidRDefault="00BE1B93" w:rsidP="00BE1B93">
      <w:pPr>
        <w:bidi w:val="0"/>
        <w:ind w:left="-993"/>
        <w:jc w:val="both"/>
        <w:rPr>
          <w:rFonts w:asciiTheme="majorBidi" w:hAnsiTheme="majorBidi" w:cstheme="majorBidi"/>
          <w:sz w:val="24"/>
          <w:szCs w:val="24"/>
        </w:rPr>
      </w:pPr>
      <w:proofErr w:type="gramStart"/>
      <w:r w:rsidRPr="00BE1B93">
        <w:rPr>
          <w:rFonts w:asciiTheme="majorBidi" w:hAnsiTheme="majorBidi" w:cstheme="majorBidi"/>
          <w:b/>
          <w:bCs/>
          <w:sz w:val="24"/>
          <w:szCs w:val="24"/>
        </w:rPr>
        <w:t>Supplementary Figure S2.</w:t>
      </w:r>
      <w:proofErr w:type="gramEnd"/>
      <w:r w:rsidRPr="00BE1B93">
        <w:rPr>
          <w:rFonts w:asciiTheme="majorBidi" w:hAnsiTheme="majorBidi" w:cstheme="majorBidi"/>
          <w:b/>
          <w:bCs/>
          <w:sz w:val="24"/>
          <w:szCs w:val="24"/>
        </w:rPr>
        <w:t xml:space="preserve"> </w:t>
      </w:r>
    </w:p>
    <w:p w:rsidR="00BE1B93" w:rsidRDefault="00BE1B93" w:rsidP="00BE1B93">
      <w:pPr>
        <w:bidi w:val="0"/>
        <w:ind w:left="-993"/>
        <w:jc w:val="both"/>
        <w:rPr>
          <w:rFonts w:asciiTheme="majorBidi" w:hAnsiTheme="majorBidi" w:cstheme="majorBidi"/>
          <w:sz w:val="24"/>
          <w:szCs w:val="24"/>
        </w:rPr>
      </w:pPr>
      <w:r w:rsidRPr="00BE1B93">
        <w:rPr>
          <w:rFonts w:asciiTheme="majorBidi" w:hAnsiTheme="majorBidi" w:cstheme="majorBidi"/>
          <w:sz w:val="24"/>
          <w:szCs w:val="24"/>
        </w:rPr>
        <w:t>5FU and CPT11 display opposite effects on MDSC accumulation and CD247 expression in the colons of CRC-mice. (</w:t>
      </w:r>
      <w:r w:rsidRPr="00BE1B93">
        <w:rPr>
          <w:rFonts w:asciiTheme="majorBidi" w:hAnsiTheme="majorBidi" w:cstheme="majorBidi"/>
          <w:b/>
          <w:bCs/>
          <w:sz w:val="24"/>
          <w:szCs w:val="24"/>
        </w:rPr>
        <w:t>A</w:t>
      </w:r>
      <w:r w:rsidRPr="00BE1B93">
        <w:rPr>
          <w:rFonts w:asciiTheme="majorBidi" w:hAnsiTheme="majorBidi" w:cstheme="majorBidi"/>
          <w:sz w:val="24"/>
          <w:szCs w:val="24"/>
        </w:rPr>
        <w:t xml:space="preserve"> and </w:t>
      </w:r>
      <w:r w:rsidRPr="00BE1B93">
        <w:rPr>
          <w:rFonts w:asciiTheme="majorBidi" w:hAnsiTheme="majorBidi" w:cstheme="majorBidi"/>
          <w:b/>
          <w:bCs/>
          <w:sz w:val="24"/>
          <w:szCs w:val="24"/>
        </w:rPr>
        <w:t>B</w:t>
      </w:r>
      <w:r w:rsidRPr="00BE1B93">
        <w:rPr>
          <w:rFonts w:asciiTheme="majorBidi" w:hAnsiTheme="majorBidi" w:cstheme="majorBidi"/>
          <w:sz w:val="24"/>
          <w:szCs w:val="24"/>
        </w:rPr>
        <w:t>)</w:t>
      </w:r>
      <w:r w:rsidR="00A543AE">
        <w:rPr>
          <w:rFonts w:asciiTheme="majorBidi" w:hAnsiTheme="majorBidi" w:cstheme="majorBidi"/>
          <w:sz w:val="24"/>
          <w:szCs w:val="24"/>
        </w:rPr>
        <w:t>.</w:t>
      </w:r>
      <w:r w:rsidRPr="00BE1B93">
        <w:rPr>
          <w:rFonts w:asciiTheme="majorBidi" w:hAnsiTheme="majorBidi" w:cstheme="majorBidi"/>
          <w:sz w:val="24"/>
          <w:szCs w:val="24"/>
        </w:rPr>
        <w:t xml:space="preserve"> Cells were isolated from the lamina propria (left) and epithelium (right) of the colons from each experimental group and analyzed by flow cytometry for MDSC accumulation (</w:t>
      </w:r>
      <w:r w:rsidRPr="00BE1B93">
        <w:rPr>
          <w:rFonts w:asciiTheme="majorBidi" w:hAnsiTheme="majorBidi" w:cstheme="majorBidi"/>
          <w:b/>
          <w:bCs/>
          <w:sz w:val="24"/>
          <w:szCs w:val="24"/>
        </w:rPr>
        <w:t>A</w:t>
      </w:r>
      <w:r w:rsidRPr="00BE1B93">
        <w:rPr>
          <w:rFonts w:asciiTheme="majorBidi" w:hAnsiTheme="majorBidi" w:cstheme="majorBidi"/>
          <w:sz w:val="24"/>
          <w:szCs w:val="24"/>
        </w:rPr>
        <w:t>) and CD247 expression levels (MFI), gating on CD3</w:t>
      </w:r>
      <w:r w:rsidRPr="00BE1B93">
        <w:rPr>
          <w:rFonts w:asciiTheme="majorBidi" w:hAnsiTheme="majorBidi" w:cstheme="majorBidi"/>
          <w:sz w:val="24"/>
          <w:szCs w:val="24"/>
          <w:vertAlign w:val="superscript"/>
        </w:rPr>
        <w:t>+</w:t>
      </w:r>
      <w:r w:rsidRPr="00BE1B93">
        <w:rPr>
          <w:rFonts w:asciiTheme="majorBidi" w:hAnsiTheme="majorBidi" w:cstheme="majorBidi"/>
          <w:sz w:val="24"/>
          <w:szCs w:val="24"/>
        </w:rPr>
        <w:t xml:space="preserve"> cells (</w:t>
      </w:r>
      <w:r w:rsidRPr="00BE1B93">
        <w:rPr>
          <w:rFonts w:asciiTheme="majorBidi" w:hAnsiTheme="majorBidi" w:cstheme="majorBidi"/>
          <w:b/>
          <w:bCs/>
          <w:sz w:val="24"/>
          <w:szCs w:val="24"/>
        </w:rPr>
        <w:t>B</w:t>
      </w:r>
      <w:r w:rsidRPr="00BE1B93">
        <w:rPr>
          <w:rFonts w:asciiTheme="majorBidi" w:hAnsiTheme="majorBidi" w:cstheme="majorBidi"/>
          <w:sz w:val="24"/>
          <w:szCs w:val="24"/>
        </w:rPr>
        <w:t xml:space="preserve">). Graphs (means of triplicates ± </w:t>
      </w:r>
      <w:proofErr w:type="spellStart"/>
      <w:r w:rsidRPr="00BE1B93">
        <w:rPr>
          <w:rFonts w:asciiTheme="majorBidi" w:hAnsiTheme="majorBidi" w:cstheme="majorBidi"/>
          <w:sz w:val="24"/>
          <w:szCs w:val="24"/>
        </w:rPr>
        <w:t>s.e.m</w:t>
      </w:r>
      <w:proofErr w:type="spellEnd"/>
      <w:r w:rsidRPr="00BE1B93">
        <w:rPr>
          <w:rFonts w:asciiTheme="majorBidi" w:hAnsiTheme="majorBidi" w:cstheme="majorBidi"/>
          <w:sz w:val="24"/>
          <w:szCs w:val="24"/>
        </w:rPr>
        <w:t xml:space="preserve">., </w:t>
      </w:r>
      <w:r w:rsidRPr="00BE1B93">
        <w:rPr>
          <w:rFonts w:asciiTheme="majorBidi" w:hAnsiTheme="majorBidi" w:cstheme="majorBidi"/>
          <w:i/>
          <w:iCs/>
          <w:sz w:val="24"/>
          <w:szCs w:val="24"/>
        </w:rPr>
        <w:t>n</w:t>
      </w:r>
      <w:r w:rsidRPr="00BE1B93">
        <w:rPr>
          <w:rFonts w:asciiTheme="majorBidi" w:hAnsiTheme="majorBidi" w:cstheme="majorBidi"/>
          <w:sz w:val="24"/>
          <w:szCs w:val="24"/>
        </w:rPr>
        <w:t xml:space="preserve">=4) are representative of a typical experiment out of three independent performed. *, </w:t>
      </w:r>
      <w:r w:rsidRPr="00BE1B93">
        <w:rPr>
          <w:rFonts w:asciiTheme="majorBidi" w:hAnsiTheme="majorBidi" w:cstheme="majorBidi"/>
          <w:i/>
          <w:iCs/>
          <w:sz w:val="24"/>
          <w:szCs w:val="24"/>
        </w:rPr>
        <w:t>P</w:t>
      </w:r>
      <w:r w:rsidRPr="00BE1B93">
        <w:rPr>
          <w:rFonts w:asciiTheme="majorBidi" w:hAnsiTheme="majorBidi" w:cstheme="majorBidi"/>
          <w:sz w:val="24"/>
          <w:szCs w:val="24"/>
        </w:rPr>
        <w:t xml:space="preserve">&lt;0.05;**, </w:t>
      </w:r>
      <w:r w:rsidRPr="00BE1B93">
        <w:rPr>
          <w:rFonts w:asciiTheme="majorBidi" w:hAnsiTheme="majorBidi" w:cstheme="majorBidi"/>
          <w:i/>
          <w:iCs/>
          <w:sz w:val="24"/>
          <w:szCs w:val="24"/>
        </w:rPr>
        <w:t>P</w:t>
      </w:r>
      <w:r w:rsidRPr="00BE1B93">
        <w:rPr>
          <w:rFonts w:asciiTheme="majorBidi" w:hAnsiTheme="majorBidi" w:cstheme="majorBidi"/>
          <w:sz w:val="24"/>
          <w:szCs w:val="24"/>
        </w:rPr>
        <w:t>&lt;0.01; ns = non-significant.</w:t>
      </w:r>
    </w:p>
    <w:p w:rsidR="00BE1B93" w:rsidRDefault="00BE1B93" w:rsidP="00BE1B93">
      <w:pPr>
        <w:bidi w:val="0"/>
        <w:ind w:left="-993"/>
        <w:jc w:val="both"/>
        <w:rPr>
          <w:rFonts w:asciiTheme="majorBidi" w:hAnsiTheme="majorBidi" w:cstheme="majorBidi"/>
          <w:sz w:val="24"/>
          <w:szCs w:val="24"/>
        </w:rPr>
      </w:pPr>
    </w:p>
    <w:p w:rsidR="00BE1B93" w:rsidRPr="00BE1B93" w:rsidRDefault="00BE1B93" w:rsidP="00BE1B93">
      <w:pPr>
        <w:bidi w:val="0"/>
        <w:ind w:left="-993"/>
        <w:jc w:val="both"/>
        <w:rPr>
          <w:rFonts w:asciiTheme="majorBidi" w:hAnsiTheme="majorBidi" w:cstheme="majorBidi"/>
          <w:sz w:val="24"/>
          <w:szCs w:val="24"/>
        </w:rPr>
      </w:pPr>
      <w:proofErr w:type="gramStart"/>
      <w:r w:rsidRPr="00BE1B93">
        <w:rPr>
          <w:rFonts w:asciiTheme="majorBidi" w:hAnsiTheme="majorBidi" w:cstheme="majorBidi"/>
          <w:b/>
          <w:bCs/>
          <w:sz w:val="24"/>
          <w:szCs w:val="24"/>
        </w:rPr>
        <w:t>Supplementary Figure S3.</w:t>
      </w:r>
      <w:proofErr w:type="gramEnd"/>
      <w:r w:rsidRPr="00BE1B93">
        <w:rPr>
          <w:rFonts w:asciiTheme="majorBidi" w:hAnsiTheme="majorBidi" w:cstheme="majorBidi"/>
          <w:b/>
          <w:bCs/>
          <w:sz w:val="24"/>
          <w:szCs w:val="24"/>
        </w:rPr>
        <w:t xml:space="preserve"> </w:t>
      </w:r>
    </w:p>
    <w:p w:rsidR="00BE1B93" w:rsidRDefault="00BE1B93" w:rsidP="00BE1B93">
      <w:pPr>
        <w:bidi w:val="0"/>
        <w:ind w:left="-993"/>
        <w:jc w:val="both"/>
        <w:rPr>
          <w:rFonts w:asciiTheme="majorBidi" w:hAnsiTheme="majorBidi" w:cstheme="majorBidi"/>
          <w:sz w:val="24"/>
          <w:szCs w:val="24"/>
        </w:rPr>
      </w:pPr>
      <w:r w:rsidRPr="00BE1B93">
        <w:rPr>
          <w:rFonts w:asciiTheme="majorBidi" w:hAnsiTheme="majorBidi" w:cstheme="majorBidi"/>
          <w:sz w:val="24"/>
          <w:szCs w:val="24"/>
        </w:rPr>
        <w:t>5FU or CPT11 chemotherapies do not alter the elevated Treg levels in spleens from CRC-mice. Levels of Tregs from each experimental group were evaluated after fixation/</w:t>
      </w:r>
      <w:proofErr w:type="spellStart"/>
      <w:r w:rsidRPr="00BE1B93">
        <w:rPr>
          <w:rFonts w:asciiTheme="majorBidi" w:hAnsiTheme="majorBidi" w:cstheme="majorBidi"/>
          <w:sz w:val="24"/>
          <w:szCs w:val="24"/>
        </w:rPr>
        <w:t>permeabilization</w:t>
      </w:r>
      <w:proofErr w:type="spellEnd"/>
      <w:r w:rsidRPr="00BE1B93">
        <w:rPr>
          <w:rFonts w:asciiTheme="majorBidi" w:hAnsiTheme="majorBidi" w:cstheme="majorBidi"/>
          <w:sz w:val="24"/>
          <w:szCs w:val="24"/>
        </w:rPr>
        <w:t xml:space="preserve"> and double staining for CD4</w:t>
      </w:r>
      <w:r w:rsidRPr="00BE1B93">
        <w:rPr>
          <w:rFonts w:asciiTheme="majorBidi" w:hAnsiTheme="majorBidi" w:cstheme="majorBidi"/>
          <w:sz w:val="24"/>
          <w:szCs w:val="24"/>
          <w:vertAlign w:val="superscript"/>
        </w:rPr>
        <w:t>+</w:t>
      </w:r>
      <w:r w:rsidRPr="00BE1B93">
        <w:rPr>
          <w:rFonts w:asciiTheme="majorBidi" w:hAnsiTheme="majorBidi" w:cstheme="majorBidi"/>
          <w:sz w:val="24"/>
          <w:szCs w:val="24"/>
        </w:rPr>
        <w:t>Foxp3</w:t>
      </w:r>
      <w:r w:rsidRPr="00BE1B93">
        <w:rPr>
          <w:rFonts w:asciiTheme="majorBidi" w:hAnsiTheme="majorBidi" w:cstheme="majorBidi"/>
          <w:sz w:val="24"/>
          <w:szCs w:val="24"/>
          <w:vertAlign w:val="superscript"/>
        </w:rPr>
        <w:t>+</w:t>
      </w:r>
      <w:r w:rsidR="00CD2E1B">
        <w:rPr>
          <w:rFonts w:asciiTheme="majorBidi" w:hAnsiTheme="majorBidi" w:cstheme="majorBidi"/>
          <w:sz w:val="24"/>
          <w:szCs w:val="24"/>
        </w:rPr>
        <w:t>.</w:t>
      </w:r>
      <w:r w:rsidRPr="00BE1B93">
        <w:rPr>
          <w:rFonts w:asciiTheme="majorBidi" w:hAnsiTheme="majorBidi" w:cstheme="majorBidi"/>
          <w:sz w:val="24"/>
          <w:szCs w:val="24"/>
        </w:rPr>
        <w:t xml:space="preserve"> Graph (means of triplicates ± </w:t>
      </w:r>
      <w:proofErr w:type="spellStart"/>
      <w:r w:rsidRPr="00BE1B93">
        <w:rPr>
          <w:rFonts w:asciiTheme="majorBidi" w:hAnsiTheme="majorBidi" w:cstheme="majorBidi"/>
          <w:sz w:val="24"/>
          <w:szCs w:val="24"/>
        </w:rPr>
        <w:t>s.e.m</w:t>
      </w:r>
      <w:proofErr w:type="spellEnd"/>
      <w:r w:rsidRPr="00BE1B93">
        <w:rPr>
          <w:rFonts w:asciiTheme="majorBidi" w:hAnsiTheme="majorBidi" w:cstheme="majorBidi"/>
          <w:sz w:val="24"/>
          <w:szCs w:val="24"/>
        </w:rPr>
        <w:t xml:space="preserve">., </w:t>
      </w:r>
      <w:r w:rsidRPr="00BE1B93">
        <w:rPr>
          <w:rFonts w:asciiTheme="majorBidi" w:hAnsiTheme="majorBidi" w:cstheme="majorBidi"/>
          <w:i/>
          <w:iCs/>
          <w:sz w:val="24"/>
          <w:szCs w:val="24"/>
        </w:rPr>
        <w:t>n</w:t>
      </w:r>
      <w:r w:rsidRPr="00BE1B93">
        <w:rPr>
          <w:rFonts w:asciiTheme="majorBidi" w:hAnsiTheme="majorBidi" w:cstheme="majorBidi"/>
          <w:sz w:val="24"/>
          <w:szCs w:val="24"/>
        </w:rPr>
        <w:t xml:space="preserve">=4) is representative of a typical experiment out of three performed.*, </w:t>
      </w:r>
      <w:r w:rsidRPr="00BE1B93">
        <w:rPr>
          <w:rFonts w:asciiTheme="majorBidi" w:hAnsiTheme="majorBidi" w:cstheme="majorBidi"/>
          <w:i/>
          <w:iCs/>
          <w:sz w:val="24"/>
          <w:szCs w:val="24"/>
        </w:rPr>
        <w:t>P</w:t>
      </w:r>
      <w:r w:rsidRPr="00BE1B93">
        <w:rPr>
          <w:rFonts w:asciiTheme="majorBidi" w:hAnsiTheme="majorBidi" w:cstheme="majorBidi"/>
          <w:sz w:val="24"/>
          <w:szCs w:val="24"/>
        </w:rPr>
        <w:t xml:space="preserve">&lt;0.05. </w:t>
      </w:r>
    </w:p>
    <w:p w:rsidR="00BE1B93" w:rsidRDefault="00BE1B93" w:rsidP="00BE1B93">
      <w:pPr>
        <w:bidi w:val="0"/>
        <w:ind w:left="-993"/>
        <w:jc w:val="both"/>
        <w:rPr>
          <w:rFonts w:asciiTheme="majorBidi" w:hAnsiTheme="majorBidi" w:cstheme="majorBidi"/>
          <w:sz w:val="24"/>
          <w:szCs w:val="24"/>
        </w:rPr>
      </w:pPr>
    </w:p>
    <w:p w:rsidR="00420FBC" w:rsidRDefault="00420FBC" w:rsidP="00420FBC">
      <w:pPr>
        <w:bidi w:val="0"/>
        <w:ind w:left="-993"/>
        <w:jc w:val="both"/>
        <w:rPr>
          <w:rFonts w:asciiTheme="majorBidi" w:hAnsiTheme="majorBidi" w:cstheme="majorBidi"/>
          <w:b/>
          <w:bCs/>
          <w:sz w:val="24"/>
          <w:szCs w:val="24"/>
        </w:rPr>
      </w:pPr>
      <w:proofErr w:type="gramStart"/>
      <w:r w:rsidRPr="00BE1B93">
        <w:rPr>
          <w:rFonts w:asciiTheme="majorBidi" w:hAnsiTheme="majorBidi" w:cstheme="majorBidi"/>
          <w:b/>
          <w:bCs/>
          <w:sz w:val="24"/>
          <w:szCs w:val="24"/>
        </w:rPr>
        <w:t>Supplementary Figure S</w:t>
      </w:r>
      <w:r w:rsidR="00A97C69">
        <w:rPr>
          <w:rFonts w:asciiTheme="majorBidi" w:hAnsiTheme="majorBidi" w:cstheme="majorBidi" w:hint="cs"/>
          <w:b/>
          <w:bCs/>
          <w:sz w:val="24"/>
          <w:szCs w:val="24"/>
        </w:rPr>
        <w:t>4</w:t>
      </w:r>
      <w:r w:rsidRPr="00BE1B93">
        <w:rPr>
          <w:rFonts w:asciiTheme="majorBidi" w:hAnsiTheme="majorBidi" w:cstheme="majorBidi"/>
          <w:b/>
          <w:bCs/>
          <w:sz w:val="24"/>
          <w:szCs w:val="24"/>
        </w:rPr>
        <w:t>.</w:t>
      </w:r>
      <w:proofErr w:type="gramEnd"/>
      <w:r w:rsidRPr="00BE1B93">
        <w:rPr>
          <w:rFonts w:asciiTheme="majorBidi" w:hAnsiTheme="majorBidi" w:cstheme="majorBidi"/>
          <w:b/>
          <w:bCs/>
          <w:sz w:val="24"/>
          <w:szCs w:val="24"/>
        </w:rPr>
        <w:t xml:space="preserve"> </w:t>
      </w:r>
    </w:p>
    <w:p w:rsidR="00CD2E1B" w:rsidRPr="00947A79" w:rsidRDefault="00CD2E1B" w:rsidP="00947A79">
      <w:pPr>
        <w:bidi w:val="0"/>
        <w:ind w:left="-993"/>
        <w:jc w:val="both"/>
        <w:rPr>
          <w:rFonts w:asciiTheme="majorBidi" w:hAnsiTheme="majorBidi" w:cstheme="majorBidi"/>
          <w:sz w:val="24"/>
          <w:szCs w:val="24"/>
        </w:rPr>
      </w:pPr>
      <w:r w:rsidRPr="00947A79">
        <w:rPr>
          <w:rFonts w:ascii="Times New Roman" w:hAnsi="Times New Roman"/>
          <w:bCs/>
          <w:sz w:val="24"/>
          <w:szCs w:val="24"/>
        </w:rPr>
        <w:t>A combined 5FU and CPT11 therapy preserves immunosuppression</w:t>
      </w:r>
      <w:r>
        <w:rPr>
          <w:rFonts w:asciiTheme="majorBidi" w:hAnsiTheme="majorBidi" w:cstheme="majorBidi"/>
          <w:sz w:val="24"/>
          <w:szCs w:val="24"/>
        </w:rPr>
        <w:t>.</w:t>
      </w:r>
      <w:r w:rsidRPr="00947A79">
        <w:rPr>
          <w:rFonts w:asciiTheme="majorBidi" w:hAnsiTheme="majorBidi" w:cstheme="majorBidi"/>
          <w:sz w:val="24"/>
          <w:szCs w:val="24"/>
        </w:rPr>
        <w:t xml:space="preserve"> </w:t>
      </w:r>
      <w:r w:rsidR="008C69EF">
        <w:rPr>
          <w:rFonts w:asciiTheme="majorBidi" w:hAnsiTheme="majorBidi" w:cstheme="majorBidi"/>
          <w:sz w:val="24"/>
          <w:szCs w:val="24"/>
        </w:rPr>
        <w:t>(</w:t>
      </w:r>
      <w:r w:rsidR="008C69EF" w:rsidRPr="00947A79">
        <w:rPr>
          <w:rFonts w:asciiTheme="majorBidi" w:hAnsiTheme="majorBidi" w:cstheme="majorBidi"/>
          <w:b/>
          <w:bCs/>
          <w:sz w:val="24"/>
          <w:szCs w:val="24"/>
        </w:rPr>
        <w:t>A</w:t>
      </w:r>
      <w:r w:rsidR="008C69EF">
        <w:rPr>
          <w:rFonts w:asciiTheme="majorBidi" w:hAnsiTheme="majorBidi" w:cstheme="majorBidi"/>
          <w:sz w:val="24"/>
          <w:szCs w:val="24"/>
        </w:rPr>
        <w:t xml:space="preserve"> and </w:t>
      </w:r>
      <w:r w:rsidR="008C69EF" w:rsidRPr="00947A79">
        <w:rPr>
          <w:rFonts w:asciiTheme="majorBidi" w:hAnsiTheme="majorBidi" w:cstheme="majorBidi"/>
          <w:b/>
          <w:bCs/>
          <w:sz w:val="24"/>
          <w:szCs w:val="24"/>
        </w:rPr>
        <w:t>B</w:t>
      </w:r>
      <w:r w:rsidR="008C69EF">
        <w:rPr>
          <w:rFonts w:asciiTheme="majorBidi" w:hAnsiTheme="majorBidi" w:cstheme="majorBidi"/>
          <w:sz w:val="24"/>
          <w:szCs w:val="24"/>
        </w:rPr>
        <w:t xml:space="preserve">) </w:t>
      </w:r>
      <w:r w:rsidR="008C69EF" w:rsidRPr="00BE1B93">
        <w:rPr>
          <w:rFonts w:asciiTheme="majorBidi" w:hAnsiTheme="majorBidi" w:cstheme="majorBidi"/>
          <w:sz w:val="24"/>
          <w:szCs w:val="24"/>
        </w:rPr>
        <w:t>MDSCs isolated from spleens of CRC-mice (</w:t>
      </w:r>
      <w:r w:rsidR="008C69EF" w:rsidRPr="00BE1B93">
        <w:rPr>
          <w:rFonts w:asciiTheme="majorBidi" w:hAnsiTheme="majorBidi" w:cstheme="majorBidi"/>
          <w:i/>
          <w:iCs/>
          <w:sz w:val="24"/>
          <w:szCs w:val="24"/>
        </w:rPr>
        <w:t>n</w:t>
      </w:r>
      <w:r w:rsidR="008C69EF" w:rsidRPr="00BE1B93">
        <w:rPr>
          <w:rFonts w:asciiTheme="majorBidi" w:hAnsiTheme="majorBidi" w:cstheme="majorBidi"/>
          <w:sz w:val="24"/>
          <w:szCs w:val="24"/>
        </w:rPr>
        <w:t>=</w:t>
      </w:r>
      <w:r>
        <w:rPr>
          <w:rFonts w:asciiTheme="majorBidi" w:hAnsiTheme="majorBidi" w:cstheme="majorBidi"/>
          <w:sz w:val="24"/>
          <w:szCs w:val="24"/>
        </w:rPr>
        <w:t>5</w:t>
      </w:r>
      <w:r w:rsidR="008C69EF" w:rsidRPr="00BE1B93">
        <w:rPr>
          <w:rFonts w:asciiTheme="majorBidi" w:hAnsiTheme="majorBidi" w:cstheme="majorBidi"/>
          <w:sz w:val="24"/>
          <w:szCs w:val="24"/>
        </w:rPr>
        <w:t xml:space="preserve">) were cultured </w:t>
      </w:r>
      <w:r w:rsidR="008C69EF" w:rsidRPr="00BE1B93">
        <w:rPr>
          <w:rFonts w:asciiTheme="majorBidi" w:hAnsiTheme="majorBidi" w:cstheme="majorBidi"/>
          <w:i/>
          <w:iCs/>
          <w:sz w:val="24"/>
          <w:szCs w:val="24"/>
        </w:rPr>
        <w:t>ex vivo</w:t>
      </w:r>
      <w:r w:rsidR="008C69EF" w:rsidRPr="00BE1B93">
        <w:rPr>
          <w:rFonts w:asciiTheme="majorBidi" w:hAnsiTheme="majorBidi" w:cstheme="majorBidi"/>
          <w:sz w:val="24"/>
          <w:szCs w:val="24"/>
        </w:rPr>
        <w:t xml:space="preserve"> in the presence of </w:t>
      </w:r>
      <w:r w:rsidR="008C69EF">
        <w:rPr>
          <w:rFonts w:asciiTheme="majorBidi" w:hAnsiTheme="majorBidi" w:cstheme="majorBidi"/>
          <w:sz w:val="24"/>
          <w:szCs w:val="24"/>
        </w:rPr>
        <w:t xml:space="preserve">2.5µmol/L </w:t>
      </w:r>
      <w:r w:rsidR="008C69EF" w:rsidRPr="00BE1B93">
        <w:rPr>
          <w:rFonts w:asciiTheme="majorBidi" w:hAnsiTheme="majorBidi" w:cstheme="majorBidi"/>
          <w:sz w:val="24"/>
          <w:szCs w:val="24"/>
        </w:rPr>
        <w:t>of 5FU</w:t>
      </w:r>
      <w:r w:rsidR="008C69EF">
        <w:rPr>
          <w:rFonts w:asciiTheme="majorBidi" w:hAnsiTheme="majorBidi" w:cstheme="majorBidi"/>
          <w:sz w:val="24"/>
          <w:szCs w:val="24"/>
        </w:rPr>
        <w:t>,</w:t>
      </w:r>
      <w:r w:rsidR="008C69EF" w:rsidRPr="00BE1B93">
        <w:rPr>
          <w:rFonts w:asciiTheme="majorBidi" w:hAnsiTheme="majorBidi" w:cstheme="majorBidi"/>
          <w:sz w:val="24"/>
          <w:szCs w:val="24"/>
        </w:rPr>
        <w:t xml:space="preserve"> CPT11</w:t>
      </w:r>
      <w:r w:rsidR="008C69EF">
        <w:rPr>
          <w:rFonts w:asciiTheme="majorBidi" w:hAnsiTheme="majorBidi" w:cstheme="majorBidi"/>
          <w:sz w:val="24"/>
          <w:szCs w:val="24"/>
        </w:rPr>
        <w:t xml:space="preserve"> or 5FU and CPT11</w:t>
      </w:r>
      <w:r w:rsidR="008C69EF" w:rsidRPr="00BE1B93">
        <w:rPr>
          <w:rFonts w:asciiTheme="majorBidi" w:hAnsiTheme="majorBidi" w:cstheme="majorBidi"/>
          <w:sz w:val="24"/>
          <w:szCs w:val="24"/>
        </w:rPr>
        <w:t xml:space="preserve"> for</w:t>
      </w:r>
      <w:r w:rsidR="008C69EF">
        <w:rPr>
          <w:rFonts w:asciiTheme="majorBidi" w:hAnsiTheme="majorBidi" w:cstheme="majorBidi"/>
          <w:sz w:val="24"/>
          <w:szCs w:val="24"/>
        </w:rPr>
        <w:t xml:space="preserve"> 24h. Cultured MDSCs were analyzed </w:t>
      </w:r>
      <w:r w:rsidR="008C69EF" w:rsidRPr="007A36AC">
        <w:rPr>
          <w:rFonts w:ascii="Times New Roman" w:hAnsi="Times New Roman"/>
          <w:sz w:val="24"/>
          <w:szCs w:val="24"/>
        </w:rPr>
        <w:t>for NO</w:t>
      </w:r>
      <w:r w:rsidR="008C69EF" w:rsidRPr="007A36AC">
        <w:rPr>
          <w:rFonts w:ascii="Times New Roman" w:hAnsi="Times New Roman"/>
          <w:sz w:val="24"/>
          <w:szCs w:val="24"/>
          <w:vertAlign w:val="superscript"/>
        </w:rPr>
        <w:t>-</w:t>
      </w:r>
      <w:r w:rsidR="008C69EF" w:rsidRPr="007A36AC">
        <w:rPr>
          <w:rFonts w:ascii="Times New Roman" w:hAnsi="Times New Roman"/>
          <w:sz w:val="24"/>
          <w:szCs w:val="24"/>
        </w:rPr>
        <w:t xml:space="preserve"> </w:t>
      </w:r>
      <w:r w:rsidR="008C69EF">
        <w:rPr>
          <w:rFonts w:ascii="Times New Roman" w:hAnsi="Times New Roman"/>
          <w:sz w:val="24"/>
          <w:szCs w:val="24"/>
        </w:rPr>
        <w:t xml:space="preserve">and ROS </w:t>
      </w:r>
      <w:r w:rsidR="008C69EF" w:rsidRPr="007A36AC">
        <w:rPr>
          <w:rFonts w:ascii="Times New Roman" w:hAnsi="Times New Roman"/>
          <w:sz w:val="24"/>
          <w:szCs w:val="24"/>
        </w:rPr>
        <w:t xml:space="preserve">production by flow cytometry analysis gaiting on </w:t>
      </w:r>
      <w:r w:rsidR="008C69EF">
        <w:rPr>
          <w:rFonts w:ascii="Times New Roman" w:hAnsi="Times New Roman"/>
          <w:sz w:val="24"/>
          <w:szCs w:val="24"/>
        </w:rPr>
        <w:t>(</w:t>
      </w:r>
      <w:r w:rsidR="008C69EF" w:rsidRPr="00947A79">
        <w:rPr>
          <w:rFonts w:ascii="Times New Roman" w:hAnsi="Times New Roman"/>
          <w:b/>
          <w:bCs/>
          <w:sz w:val="24"/>
          <w:szCs w:val="24"/>
        </w:rPr>
        <w:t>A</w:t>
      </w:r>
      <w:r w:rsidR="008C69EF">
        <w:rPr>
          <w:rFonts w:ascii="Times New Roman" w:hAnsi="Times New Roman"/>
          <w:sz w:val="24"/>
          <w:szCs w:val="24"/>
        </w:rPr>
        <w:t>) CD11b</w:t>
      </w:r>
      <w:r w:rsidR="008C69EF" w:rsidRPr="00947A79">
        <w:rPr>
          <w:rFonts w:ascii="Times New Roman" w:hAnsi="Times New Roman"/>
          <w:sz w:val="24"/>
          <w:szCs w:val="24"/>
          <w:vertAlign w:val="superscript"/>
        </w:rPr>
        <w:t>+</w:t>
      </w:r>
      <w:r w:rsidR="008C69EF">
        <w:rPr>
          <w:rFonts w:ascii="Times New Roman" w:hAnsi="Times New Roman"/>
          <w:sz w:val="24"/>
          <w:szCs w:val="24"/>
        </w:rPr>
        <w:t>Gr1</w:t>
      </w:r>
      <w:r w:rsidR="008C69EF" w:rsidRPr="00947A79">
        <w:rPr>
          <w:rFonts w:ascii="Times New Roman" w:hAnsi="Times New Roman"/>
          <w:sz w:val="24"/>
          <w:szCs w:val="24"/>
          <w:vertAlign w:val="superscript"/>
        </w:rPr>
        <w:t>+</w:t>
      </w:r>
      <w:r w:rsidR="008C69EF">
        <w:rPr>
          <w:rFonts w:ascii="Times New Roman" w:hAnsi="Times New Roman"/>
          <w:sz w:val="24"/>
          <w:szCs w:val="24"/>
        </w:rPr>
        <w:t xml:space="preserve"> MDSCs</w:t>
      </w:r>
      <w:r w:rsidR="00A97C69">
        <w:rPr>
          <w:rFonts w:ascii="Times New Roman" w:hAnsi="Times New Roman"/>
          <w:sz w:val="24"/>
          <w:szCs w:val="24"/>
        </w:rPr>
        <w:t>,</w:t>
      </w:r>
      <w:r w:rsidR="008C69EF">
        <w:rPr>
          <w:rFonts w:ascii="Times New Roman" w:hAnsi="Times New Roman"/>
          <w:sz w:val="24"/>
          <w:szCs w:val="24"/>
        </w:rPr>
        <w:t xml:space="preserve"> </w:t>
      </w:r>
      <w:r w:rsidR="008C69EF">
        <w:rPr>
          <w:rFonts w:asciiTheme="majorBidi" w:hAnsiTheme="majorBidi" w:cstheme="majorBidi"/>
          <w:sz w:val="24"/>
          <w:szCs w:val="24"/>
        </w:rPr>
        <w:t>(</w:t>
      </w:r>
      <w:r w:rsidR="008C69EF" w:rsidRPr="00947A79">
        <w:rPr>
          <w:rFonts w:asciiTheme="majorBidi" w:hAnsiTheme="majorBidi" w:cstheme="majorBidi"/>
          <w:b/>
          <w:bCs/>
          <w:sz w:val="24"/>
          <w:szCs w:val="24"/>
        </w:rPr>
        <w:t>B</w:t>
      </w:r>
      <w:r w:rsidR="008C69EF">
        <w:rPr>
          <w:rFonts w:asciiTheme="majorBidi" w:hAnsiTheme="majorBidi" w:cstheme="majorBidi"/>
          <w:sz w:val="24"/>
          <w:szCs w:val="24"/>
        </w:rPr>
        <w:t xml:space="preserve">) </w:t>
      </w:r>
      <w:r w:rsidR="003320BF">
        <w:rPr>
          <w:rFonts w:ascii="Times New Roman" w:hAnsi="Times New Roman"/>
          <w:sz w:val="24"/>
          <w:szCs w:val="24"/>
        </w:rPr>
        <w:t>CD11b</w:t>
      </w:r>
      <w:r w:rsidR="003320BF" w:rsidRPr="006F7D7E">
        <w:rPr>
          <w:rFonts w:ascii="Times New Roman" w:hAnsi="Times New Roman"/>
          <w:sz w:val="24"/>
          <w:szCs w:val="24"/>
          <w:vertAlign w:val="superscript"/>
        </w:rPr>
        <w:t>+</w:t>
      </w:r>
      <w:r w:rsidR="003320BF">
        <w:rPr>
          <w:rFonts w:ascii="Times New Roman" w:hAnsi="Times New Roman"/>
          <w:sz w:val="24"/>
          <w:szCs w:val="24"/>
        </w:rPr>
        <w:t>Ly6C</w:t>
      </w:r>
      <w:r w:rsidR="003320BF" w:rsidRPr="006F7D7E">
        <w:rPr>
          <w:rFonts w:ascii="Times New Roman" w:hAnsi="Times New Roman"/>
          <w:sz w:val="24"/>
          <w:szCs w:val="24"/>
          <w:vertAlign w:val="superscript"/>
        </w:rPr>
        <w:t>high</w:t>
      </w:r>
      <w:r w:rsidR="003320BF">
        <w:rPr>
          <w:rFonts w:ascii="Times New Roman" w:hAnsi="Times New Roman"/>
          <w:sz w:val="24"/>
          <w:szCs w:val="24"/>
        </w:rPr>
        <w:t xml:space="preserve"> Ly6G</w:t>
      </w:r>
      <w:r w:rsidR="003320BF" w:rsidRPr="006F7D7E">
        <w:rPr>
          <w:rFonts w:ascii="Times New Roman" w:hAnsi="Times New Roman"/>
          <w:sz w:val="24"/>
          <w:szCs w:val="24"/>
          <w:vertAlign w:val="superscript"/>
        </w:rPr>
        <w:t>-</w:t>
      </w:r>
      <w:r w:rsidR="003320BF">
        <w:rPr>
          <w:rFonts w:ascii="Times New Roman" w:hAnsi="Times New Roman"/>
          <w:sz w:val="24"/>
          <w:szCs w:val="24"/>
          <w:vertAlign w:val="superscript"/>
        </w:rPr>
        <w:t xml:space="preserve"> </w:t>
      </w:r>
      <w:r w:rsidR="003320BF">
        <w:rPr>
          <w:rFonts w:ascii="Times New Roman" w:hAnsi="Times New Roman"/>
          <w:sz w:val="24"/>
          <w:szCs w:val="24"/>
        </w:rPr>
        <w:t>monocytic MDSCs (M-MDSCs) and CD11b</w:t>
      </w:r>
      <w:r w:rsidR="003320BF" w:rsidRPr="006F7D7E">
        <w:rPr>
          <w:rFonts w:ascii="Times New Roman" w:hAnsi="Times New Roman"/>
          <w:sz w:val="24"/>
          <w:szCs w:val="24"/>
          <w:vertAlign w:val="superscript"/>
        </w:rPr>
        <w:t>+</w:t>
      </w:r>
      <w:r w:rsidR="003320BF">
        <w:rPr>
          <w:rFonts w:ascii="Times New Roman" w:hAnsi="Times New Roman"/>
          <w:sz w:val="24"/>
          <w:szCs w:val="24"/>
        </w:rPr>
        <w:t>Ly6C</w:t>
      </w:r>
      <w:r w:rsidR="003320BF" w:rsidRPr="006F7D7E">
        <w:rPr>
          <w:rFonts w:ascii="Times New Roman" w:hAnsi="Times New Roman"/>
          <w:sz w:val="24"/>
          <w:szCs w:val="24"/>
          <w:vertAlign w:val="superscript"/>
        </w:rPr>
        <w:t>low</w:t>
      </w:r>
      <w:r w:rsidR="003320BF">
        <w:rPr>
          <w:rFonts w:ascii="Times New Roman" w:hAnsi="Times New Roman"/>
          <w:sz w:val="24"/>
          <w:szCs w:val="24"/>
        </w:rPr>
        <w:t>Ly6G</w:t>
      </w:r>
      <w:r w:rsidR="003320BF" w:rsidRPr="006F7D7E">
        <w:rPr>
          <w:rFonts w:ascii="Times New Roman" w:hAnsi="Times New Roman"/>
          <w:sz w:val="24"/>
          <w:szCs w:val="24"/>
          <w:vertAlign w:val="superscript"/>
        </w:rPr>
        <w:t>+</w:t>
      </w:r>
      <w:r w:rsidR="003320BF">
        <w:rPr>
          <w:rFonts w:ascii="Times New Roman" w:hAnsi="Times New Roman"/>
          <w:sz w:val="24"/>
          <w:szCs w:val="24"/>
        </w:rPr>
        <w:t xml:space="preserve"> granulocytic </w:t>
      </w:r>
      <w:r w:rsidR="001D137E">
        <w:rPr>
          <w:rFonts w:ascii="Times New Roman" w:hAnsi="Times New Roman"/>
          <w:sz w:val="24"/>
          <w:szCs w:val="24"/>
        </w:rPr>
        <w:t xml:space="preserve">MDSCs </w:t>
      </w:r>
      <w:r w:rsidR="003320BF">
        <w:rPr>
          <w:rFonts w:ascii="Times New Roman" w:hAnsi="Times New Roman"/>
          <w:sz w:val="24"/>
          <w:szCs w:val="24"/>
        </w:rPr>
        <w:t xml:space="preserve">(G-MDSCs) sub-populations. </w:t>
      </w:r>
      <w:r>
        <w:rPr>
          <w:rFonts w:asciiTheme="majorBidi" w:hAnsiTheme="majorBidi" w:cstheme="majorBidi"/>
          <w:sz w:val="24"/>
          <w:szCs w:val="24"/>
        </w:rPr>
        <w:t>(</w:t>
      </w:r>
      <w:r w:rsidR="009303FB">
        <w:rPr>
          <w:rFonts w:asciiTheme="majorBidi" w:hAnsiTheme="majorBidi" w:cstheme="majorBidi"/>
          <w:b/>
          <w:bCs/>
          <w:sz w:val="24"/>
          <w:szCs w:val="24"/>
        </w:rPr>
        <w:t>C</w:t>
      </w:r>
      <w:r>
        <w:rPr>
          <w:rFonts w:asciiTheme="majorBidi" w:hAnsiTheme="majorBidi" w:cstheme="majorBidi"/>
          <w:sz w:val="24"/>
          <w:szCs w:val="24"/>
        </w:rPr>
        <w:t xml:space="preserve">) </w:t>
      </w:r>
      <w:r w:rsidRPr="007A36AC">
        <w:rPr>
          <w:rFonts w:ascii="Times New Roman" w:hAnsi="Times New Roman"/>
          <w:sz w:val="24"/>
          <w:szCs w:val="24"/>
        </w:rPr>
        <w:t>Splenocytes were labeled with CFSE and activated with anti-CD3 and anti-CD28 antibodies or left non-activated. The proliferative response was assessed by monitoring cell divisions of gated CFSE-labeled CD</w:t>
      </w:r>
      <w:r>
        <w:rPr>
          <w:rFonts w:ascii="Times New Roman" w:hAnsi="Times New Roman"/>
          <w:sz w:val="24"/>
          <w:szCs w:val="24"/>
        </w:rPr>
        <w:t>8</w:t>
      </w:r>
      <w:r w:rsidRPr="007A36AC">
        <w:rPr>
          <w:rFonts w:ascii="Times New Roman" w:hAnsi="Times New Roman"/>
          <w:sz w:val="24"/>
          <w:szCs w:val="24"/>
          <w:vertAlign w:val="superscript"/>
        </w:rPr>
        <w:t>+</w:t>
      </w:r>
      <w:r>
        <w:rPr>
          <w:rFonts w:ascii="Times New Roman" w:hAnsi="Times New Roman"/>
          <w:sz w:val="24"/>
          <w:szCs w:val="24"/>
        </w:rPr>
        <w:t xml:space="preserve"> </w:t>
      </w:r>
      <w:r w:rsidRPr="007A36AC">
        <w:rPr>
          <w:rFonts w:ascii="Times New Roman" w:hAnsi="Times New Roman"/>
          <w:sz w:val="24"/>
          <w:szCs w:val="24"/>
        </w:rPr>
        <w:t>T-cells. Representative histograms of proliferative activity are shown (left), and the percent of proliferating cells was calculated and compared to steady-state levels of non-activated cells in each group (right).</w:t>
      </w:r>
      <w:r>
        <w:rPr>
          <w:rFonts w:asciiTheme="majorBidi" w:hAnsiTheme="majorBidi" w:cstheme="majorBidi"/>
          <w:sz w:val="24"/>
          <w:szCs w:val="24"/>
        </w:rPr>
        <w:t xml:space="preserve"> </w:t>
      </w:r>
      <w:r w:rsidR="009303FB">
        <w:rPr>
          <w:rFonts w:asciiTheme="majorBidi" w:hAnsiTheme="majorBidi" w:cstheme="majorBidi"/>
          <w:sz w:val="24"/>
          <w:szCs w:val="24"/>
        </w:rPr>
        <w:t xml:space="preserve">(D) </w:t>
      </w:r>
      <w:r w:rsidR="009303FB" w:rsidRPr="007A36AC">
        <w:rPr>
          <w:rFonts w:ascii="Times New Roman" w:hAnsi="Times New Roman"/>
          <w:sz w:val="24"/>
          <w:szCs w:val="24"/>
        </w:rPr>
        <w:t>Splenocytes</w:t>
      </w:r>
      <w:r w:rsidR="009303FB">
        <w:rPr>
          <w:rFonts w:ascii="Times New Roman" w:hAnsi="Times New Roman"/>
          <w:sz w:val="24"/>
          <w:szCs w:val="24"/>
        </w:rPr>
        <w:t xml:space="preserve"> </w:t>
      </w:r>
      <w:r w:rsidR="009303FB" w:rsidRPr="007A36AC">
        <w:rPr>
          <w:rFonts w:ascii="Times New Roman" w:hAnsi="Times New Roman"/>
          <w:sz w:val="24"/>
          <w:szCs w:val="24"/>
        </w:rPr>
        <w:t>from the experimental groups were analyzed for CD247 expression levels gating on CD</w:t>
      </w:r>
      <w:r w:rsidR="009303FB">
        <w:rPr>
          <w:rFonts w:ascii="Times New Roman" w:hAnsi="Times New Roman"/>
          <w:sz w:val="24"/>
          <w:szCs w:val="24"/>
        </w:rPr>
        <w:t>8</w:t>
      </w:r>
      <w:r w:rsidR="009303FB" w:rsidRPr="007A36AC">
        <w:rPr>
          <w:rFonts w:ascii="Times New Roman" w:hAnsi="Times New Roman"/>
          <w:sz w:val="24"/>
          <w:szCs w:val="24"/>
          <w:vertAlign w:val="superscript"/>
        </w:rPr>
        <w:t>+</w:t>
      </w:r>
      <w:r w:rsidR="009303FB" w:rsidRPr="007A36AC">
        <w:rPr>
          <w:rFonts w:ascii="Times New Roman" w:hAnsi="Times New Roman"/>
          <w:sz w:val="24"/>
          <w:szCs w:val="24"/>
        </w:rPr>
        <w:t xml:space="preserve"> cells and indicated by MFI.</w:t>
      </w:r>
      <w:r w:rsidR="009303FB">
        <w:rPr>
          <w:rFonts w:ascii="Times New Roman" w:hAnsi="Times New Roman"/>
          <w:sz w:val="24"/>
          <w:szCs w:val="24"/>
        </w:rPr>
        <w:t xml:space="preserve"> </w:t>
      </w:r>
      <w:r w:rsidRPr="007A36AC">
        <w:rPr>
          <w:rFonts w:ascii="Times New Roman" w:hAnsi="Times New Roman"/>
          <w:sz w:val="24"/>
          <w:szCs w:val="24"/>
        </w:rPr>
        <w:t>Graph</w:t>
      </w:r>
      <w:r>
        <w:rPr>
          <w:rFonts w:ascii="Times New Roman" w:hAnsi="Times New Roman"/>
          <w:sz w:val="24"/>
          <w:szCs w:val="24"/>
        </w:rPr>
        <w:t>s</w:t>
      </w:r>
      <w:r w:rsidRPr="007A36AC">
        <w:rPr>
          <w:rFonts w:ascii="Times New Roman" w:hAnsi="Times New Roman"/>
          <w:sz w:val="24"/>
          <w:szCs w:val="24"/>
        </w:rPr>
        <w:t xml:space="preserve"> (means of triplicates ± </w:t>
      </w:r>
      <w:proofErr w:type="spellStart"/>
      <w:r w:rsidRPr="007A36AC">
        <w:rPr>
          <w:rFonts w:ascii="Times New Roman" w:hAnsi="Times New Roman"/>
          <w:sz w:val="24"/>
          <w:szCs w:val="24"/>
        </w:rPr>
        <w:t>s.e.m</w:t>
      </w:r>
      <w:proofErr w:type="spellEnd"/>
      <w:r w:rsidRPr="007A36AC">
        <w:rPr>
          <w:rFonts w:ascii="Times New Roman" w:hAnsi="Times New Roman"/>
          <w:sz w:val="24"/>
          <w:szCs w:val="24"/>
        </w:rPr>
        <w:t xml:space="preserve">., </w:t>
      </w:r>
      <w:r w:rsidRPr="007A36AC">
        <w:rPr>
          <w:rFonts w:ascii="Times New Roman" w:hAnsi="Times New Roman"/>
          <w:i/>
          <w:iCs/>
          <w:sz w:val="24"/>
          <w:szCs w:val="24"/>
        </w:rPr>
        <w:t>n</w:t>
      </w:r>
      <w:r w:rsidRPr="007A36AC">
        <w:rPr>
          <w:rFonts w:ascii="Times New Roman" w:hAnsi="Times New Roman"/>
          <w:sz w:val="24"/>
          <w:szCs w:val="24"/>
        </w:rPr>
        <w:t>=</w:t>
      </w:r>
      <w:r>
        <w:rPr>
          <w:rFonts w:ascii="Times New Roman" w:hAnsi="Times New Roman"/>
          <w:sz w:val="24"/>
          <w:szCs w:val="24"/>
        </w:rPr>
        <w:t>5</w:t>
      </w:r>
      <w:r w:rsidRPr="007A36AC">
        <w:rPr>
          <w:rFonts w:ascii="Times New Roman" w:hAnsi="Times New Roman"/>
          <w:sz w:val="24"/>
          <w:szCs w:val="24"/>
        </w:rPr>
        <w:t xml:space="preserve">) </w:t>
      </w:r>
      <w:r>
        <w:rPr>
          <w:rFonts w:ascii="Times New Roman" w:hAnsi="Times New Roman"/>
          <w:sz w:val="24"/>
          <w:szCs w:val="24"/>
        </w:rPr>
        <w:t>are</w:t>
      </w:r>
      <w:r w:rsidRPr="007A36AC">
        <w:rPr>
          <w:rFonts w:ascii="Times New Roman" w:hAnsi="Times New Roman"/>
          <w:sz w:val="24"/>
          <w:szCs w:val="24"/>
        </w:rPr>
        <w:t xml:space="preserve"> representative of a typical experiment out of three independent performed. *, </w:t>
      </w:r>
      <w:r w:rsidRPr="007A36AC">
        <w:rPr>
          <w:rFonts w:ascii="Times New Roman" w:hAnsi="Times New Roman"/>
          <w:i/>
          <w:iCs/>
          <w:sz w:val="24"/>
          <w:szCs w:val="24"/>
        </w:rPr>
        <w:t>P</w:t>
      </w:r>
      <w:r w:rsidRPr="007A36AC">
        <w:rPr>
          <w:rFonts w:ascii="Times New Roman" w:hAnsi="Times New Roman"/>
          <w:sz w:val="24"/>
          <w:szCs w:val="24"/>
        </w:rPr>
        <w:t xml:space="preserve">&lt;0.05; **, </w:t>
      </w:r>
      <w:r w:rsidRPr="007A36AC">
        <w:rPr>
          <w:rFonts w:ascii="Times New Roman" w:hAnsi="Times New Roman"/>
          <w:i/>
          <w:iCs/>
          <w:sz w:val="24"/>
          <w:szCs w:val="24"/>
        </w:rPr>
        <w:t>P</w:t>
      </w:r>
      <w:r w:rsidRPr="007A36AC">
        <w:rPr>
          <w:rFonts w:ascii="Times New Roman" w:hAnsi="Times New Roman"/>
          <w:sz w:val="24"/>
          <w:szCs w:val="24"/>
        </w:rPr>
        <w:t xml:space="preserve">&lt;0.01; ***, </w:t>
      </w:r>
      <w:r w:rsidRPr="007A36AC">
        <w:rPr>
          <w:rFonts w:ascii="Times New Roman" w:hAnsi="Times New Roman"/>
          <w:i/>
          <w:iCs/>
          <w:sz w:val="24"/>
          <w:szCs w:val="24"/>
        </w:rPr>
        <w:t>P</w:t>
      </w:r>
      <w:r w:rsidRPr="007A36AC">
        <w:rPr>
          <w:rFonts w:ascii="Times New Roman" w:hAnsi="Times New Roman"/>
          <w:sz w:val="24"/>
          <w:szCs w:val="24"/>
        </w:rPr>
        <w:t>&lt;0.001; non-significant.</w:t>
      </w:r>
      <w:r w:rsidRPr="007B26C0">
        <w:rPr>
          <w:rFonts w:ascii="Times New Roman" w:hAnsi="Times New Roman"/>
          <w:sz w:val="24"/>
          <w:szCs w:val="24"/>
        </w:rPr>
        <w:t xml:space="preserve"> </w:t>
      </w:r>
    </w:p>
    <w:p w:rsidR="00CD2E1B" w:rsidRDefault="00CD2E1B" w:rsidP="00CD2E1B">
      <w:pPr>
        <w:bidi w:val="0"/>
        <w:ind w:left="-993"/>
        <w:jc w:val="both"/>
        <w:rPr>
          <w:rFonts w:asciiTheme="majorBidi" w:hAnsiTheme="majorBidi" w:cstheme="majorBidi"/>
          <w:sz w:val="24"/>
          <w:szCs w:val="24"/>
        </w:rPr>
      </w:pPr>
    </w:p>
    <w:p w:rsidR="00A97C69" w:rsidRDefault="00C53CA6" w:rsidP="00A97C69">
      <w:pPr>
        <w:bidi w:val="0"/>
        <w:ind w:left="-993"/>
        <w:jc w:val="both"/>
        <w:rPr>
          <w:rFonts w:asciiTheme="majorBidi" w:hAnsiTheme="majorBidi" w:cstheme="majorBidi"/>
          <w:sz w:val="24"/>
          <w:szCs w:val="24"/>
        </w:rPr>
      </w:pPr>
      <w:proofErr w:type="gramStart"/>
      <w:r>
        <w:rPr>
          <w:rFonts w:asciiTheme="majorBidi" w:hAnsiTheme="majorBidi" w:cstheme="majorBidi"/>
          <w:b/>
          <w:bCs/>
          <w:sz w:val="24"/>
          <w:szCs w:val="24"/>
        </w:rPr>
        <w:lastRenderedPageBreak/>
        <w:t>Supplementary Figure S5</w:t>
      </w:r>
      <w:r w:rsidR="00A97C69" w:rsidRPr="00BE1B93">
        <w:rPr>
          <w:rFonts w:asciiTheme="majorBidi" w:hAnsiTheme="majorBidi" w:cstheme="majorBidi"/>
          <w:b/>
          <w:bCs/>
          <w:sz w:val="24"/>
          <w:szCs w:val="24"/>
        </w:rPr>
        <w:t>.</w:t>
      </w:r>
      <w:proofErr w:type="gramEnd"/>
      <w:r w:rsidR="00A97C69" w:rsidRPr="00BE1B93">
        <w:rPr>
          <w:rFonts w:asciiTheme="majorBidi" w:hAnsiTheme="majorBidi" w:cstheme="majorBidi"/>
          <w:b/>
          <w:bCs/>
          <w:sz w:val="24"/>
          <w:szCs w:val="24"/>
        </w:rPr>
        <w:t xml:space="preserve"> </w:t>
      </w:r>
    </w:p>
    <w:p w:rsidR="00A97C69" w:rsidRDefault="00A97C69" w:rsidP="00A97C69">
      <w:pPr>
        <w:bidi w:val="0"/>
        <w:ind w:left="-993"/>
        <w:jc w:val="both"/>
        <w:rPr>
          <w:rFonts w:ascii="Times New Roman" w:hAnsi="Times New Roman"/>
          <w:sz w:val="24"/>
          <w:szCs w:val="24"/>
        </w:rPr>
      </w:pPr>
      <w:r w:rsidRPr="007A36AC">
        <w:rPr>
          <w:rFonts w:ascii="Times New Roman" w:hAnsi="Times New Roman"/>
          <w:sz w:val="24"/>
          <w:szCs w:val="24"/>
        </w:rPr>
        <w:t>A schematic representation of mouse model for CRC</w:t>
      </w:r>
      <w:r>
        <w:rPr>
          <w:rFonts w:ascii="Times New Roman" w:hAnsi="Times New Roman"/>
          <w:sz w:val="24"/>
          <w:szCs w:val="24"/>
        </w:rPr>
        <w:t xml:space="preserve"> in which MDSCs were </w:t>
      </w:r>
      <w:r w:rsidRPr="0086267D">
        <w:rPr>
          <w:rFonts w:ascii="Times New Roman" w:hAnsi="Times New Roman"/>
          <w:i/>
          <w:iCs/>
          <w:sz w:val="24"/>
          <w:szCs w:val="24"/>
        </w:rPr>
        <w:t>in vivo</w:t>
      </w:r>
      <w:r>
        <w:rPr>
          <w:rFonts w:ascii="Times New Roman" w:hAnsi="Times New Roman"/>
          <w:sz w:val="24"/>
          <w:szCs w:val="24"/>
        </w:rPr>
        <w:t xml:space="preserve"> depleted in CPT11 treated mice by Gr1 </w:t>
      </w:r>
      <w:proofErr w:type="spellStart"/>
      <w:r>
        <w:rPr>
          <w:rFonts w:ascii="Times New Roman" w:hAnsi="Times New Roman"/>
          <w:sz w:val="24"/>
          <w:szCs w:val="24"/>
        </w:rPr>
        <w:t>mAb</w:t>
      </w:r>
      <w:proofErr w:type="spellEnd"/>
      <w:r>
        <w:rPr>
          <w:rFonts w:ascii="Times New Roman" w:hAnsi="Times New Roman"/>
          <w:sz w:val="24"/>
          <w:szCs w:val="24"/>
        </w:rPr>
        <w:t xml:space="preserve"> administration every 3 days</w:t>
      </w:r>
      <w:r w:rsidRPr="007A36AC">
        <w:rPr>
          <w:rFonts w:ascii="Times New Roman" w:hAnsi="Times New Roman"/>
          <w:sz w:val="24"/>
          <w:szCs w:val="24"/>
        </w:rPr>
        <w:t>.</w:t>
      </w:r>
    </w:p>
    <w:p w:rsidR="00CD2E1B" w:rsidRDefault="00CD2E1B" w:rsidP="00A97C69">
      <w:pPr>
        <w:bidi w:val="0"/>
        <w:ind w:left="-993"/>
        <w:jc w:val="both"/>
        <w:rPr>
          <w:rFonts w:asciiTheme="majorBidi" w:hAnsiTheme="majorBidi" w:cstheme="majorBidi"/>
          <w:sz w:val="24"/>
          <w:szCs w:val="24"/>
        </w:rPr>
      </w:pPr>
    </w:p>
    <w:p w:rsidR="001D137E" w:rsidRDefault="001D137E" w:rsidP="001D137E">
      <w:pPr>
        <w:bidi w:val="0"/>
        <w:ind w:left="-993"/>
        <w:jc w:val="both"/>
        <w:rPr>
          <w:rFonts w:asciiTheme="majorBidi" w:hAnsiTheme="majorBidi" w:cstheme="majorBidi"/>
          <w:b/>
          <w:bCs/>
          <w:sz w:val="24"/>
          <w:szCs w:val="24"/>
        </w:rPr>
      </w:pPr>
      <w:proofErr w:type="gramStart"/>
      <w:r w:rsidRPr="00BE1B93">
        <w:rPr>
          <w:rFonts w:asciiTheme="majorBidi" w:hAnsiTheme="majorBidi" w:cstheme="majorBidi"/>
          <w:b/>
          <w:bCs/>
          <w:sz w:val="24"/>
          <w:szCs w:val="24"/>
        </w:rPr>
        <w:t>Supplementary Figure S</w:t>
      </w:r>
      <w:r>
        <w:rPr>
          <w:rFonts w:asciiTheme="majorBidi" w:hAnsiTheme="majorBidi" w:cstheme="majorBidi"/>
          <w:b/>
          <w:bCs/>
          <w:sz w:val="24"/>
          <w:szCs w:val="24"/>
        </w:rPr>
        <w:t>6</w:t>
      </w:r>
      <w:r w:rsidRPr="00BE1B93">
        <w:rPr>
          <w:rFonts w:asciiTheme="majorBidi" w:hAnsiTheme="majorBidi" w:cstheme="majorBidi"/>
          <w:b/>
          <w:bCs/>
          <w:sz w:val="24"/>
          <w:szCs w:val="24"/>
        </w:rPr>
        <w:t>.</w:t>
      </w:r>
      <w:proofErr w:type="gramEnd"/>
      <w:r w:rsidRPr="00BE1B93">
        <w:rPr>
          <w:rFonts w:asciiTheme="majorBidi" w:hAnsiTheme="majorBidi" w:cstheme="majorBidi"/>
          <w:b/>
          <w:bCs/>
          <w:sz w:val="24"/>
          <w:szCs w:val="24"/>
        </w:rPr>
        <w:t xml:space="preserve"> </w:t>
      </w:r>
    </w:p>
    <w:p w:rsidR="00BE1B93" w:rsidRPr="00BE1B93" w:rsidRDefault="001D137E" w:rsidP="001D137E">
      <w:pPr>
        <w:bidi w:val="0"/>
        <w:ind w:left="-993"/>
        <w:jc w:val="both"/>
        <w:rPr>
          <w:rFonts w:asciiTheme="majorBidi" w:hAnsiTheme="majorBidi" w:cstheme="majorBidi"/>
          <w:sz w:val="24"/>
          <w:szCs w:val="24"/>
          <w:rtl/>
        </w:rPr>
      </w:pPr>
      <w:r w:rsidRPr="00947A79">
        <w:rPr>
          <w:rFonts w:ascii="Times New Roman" w:hAnsi="Times New Roman"/>
          <w:sz w:val="24"/>
          <w:szCs w:val="24"/>
        </w:rPr>
        <w:t xml:space="preserve">5FU and CPT11 </w:t>
      </w:r>
      <w:r>
        <w:rPr>
          <w:rFonts w:ascii="Times New Roman" w:hAnsi="Times New Roman"/>
          <w:sz w:val="24"/>
          <w:szCs w:val="24"/>
        </w:rPr>
        <w:t xml:space="preserve">differently affect monocytic/granulocytic MDSC </w:t>
      </w:r>
      <w:r w:rsidRPr="00947A79">
        <w:rPr>
          <w:rFonts w:ascii="Times New Roman" w:hAnsi="Times New Roman"/>
          <w:sz w:val="24"/>
          <w:szCs w:val="24"/>
        </w:rPr>
        <w:t>sensitivity to apoptosis.</w:t>
      </w:r>
      <w:r>
        <w:rPr>
          <w:rFonts w:ascii="Times New Roman" w:hAnsi="Times New Roman"/>
          <w:sz w:val="24"/>
          <w:szCs w:val="24"/>
        </w:rPr>
        <w:t xml:space="preserve"> </w:t>
      </w:r>
      <w:r>
        <w:rPr>
          <w:rFonts w:asciiTheme="majorBidi" w:hAnsiTheme="majorBidi" w:cstheme="majorBidi"/>
          <w:sz w:val="24"/>
          <w:szCs w:val="24"/>
        </w:rPr>
        <w:t>(</w:t>
      </w:r>
      <w:r w:rsidRPr="00947A79">
        <w:rPr>
          <w:rFonts w:asciiTheme="majorBidi" w:hAnsiTheme="majorBidi" w:cstheme="majorBidi"/>
          <w:b/>
          <w:bCs/>
          <w:sz w:val="24"/>
          <w:szCs w:val="24"/>
        </w:rPr>
        <w:t>A</w:t>
      </w:r>
      <w:r>
        <w:rPr>
          <w:rFonts w:asciiTheme="majorBidi" w:hAnsiTheme="majorBidi" w:cstheme="majorBidi"/>
          <w:sz w:val="24"/>
          <w:szCs w:val="24"/>
        </w:rPr>
        <w:t xml:space="preserve">) </w:t>
      </w:r>
      <w:r w:rsidRPr="00BE1B93">
        <w:rPr>
          <w:rFonts w:asciiTheme="majorBidi" w:hAnsiTheme="majorBidi" w:cstheme="majorBidi"/>
          <w:sz w:val="24"/>
          <w:szCs w:val="24"/>
        </w:rPr>
        <w:t>MDSCs isolated from spleens of CRC-mice (</w:t>
      </w:r>
      <w:r w:rsidRPr="00BE1B93">
        <w:rPr>
          <w:rFonts w:asciiTheme="majorBidi" w:hAnsiTheme="majorBidi" w:cstheme="majorBidi"/>
          <w:i/>
          <w:iCs/>
          <w:sz w:val="24"/>
          <w:szCs w:val="24"/>
        </w:rPr>
        <w:t>n</w:t>
      </w:r>
      <w:r w:rsidRPr="00BE1B93">
        <w:rPr>
          <w:rFonts w:asciiTheme="majorBidi" w:hAnsiTheme="majorBidi" w:cstheme="majorBidi"/>
          <w:sz w:val="24"/>
          <w:szCs w:val="24"/>
        </w:rPr>
        <w:t>=</w:t>
      </w:r>
      <w:r>
        <w:rPr>
          <w:rFonts w:asciiTheme="majorBidi" w:hAnsiTheme="majorBidi" w:cstheme="majorBidi"/>
          <w:sz w:val="24"/>
          <w:szCs w:val="24"/>
        </w:rPr>
        <w:t>5</w:t>
      </w:r>
      <w:r w:rsidRPr="00BE1B93">
        <w:rPr>
          <w:rFonts w:asciiTheme="majorBidi" w:hAnsiTheme="majorBidi" w:cstheme="majorBidi"/>
          <w:sz w:val="24"/>
          <w:szCs w:val="24"/>
        </w:rPr>
        <w:t xml:space="preserve">) were cultured </w:t>
      </w:r>
      <w:r w:rsidRPr="00BE1B93">
        <w:rPr>
          <w:rFonts w:asciiTheme="majorBidi" w:hAnsiTheme="majorBidi" w:cstheme="majorBidi"/>
          <w:i/>
          <w:iCs/>
          <w:sz w:val="24"/>
          <w:szCs w:val="24"/>
        </w:rPr>
        <w:t>ex vivo</w:t>
      </w:r>
      <w:r w:rsidRPr="00BE1B93">
        <w:rPr>
          <w:rFonts w:asciiTheme="majorBidi" w:hAnsiTheme="majorBidi" w:cstheme="majorBidi"/>
          <w:sz w:val="24"/>
          <w:szCs w:val="24"/>
        </w:rPr>
        <w:t xml:space="preserve"> in the presence of </w:t>
      </w:r>
      <w:r>
        <w:rPr>
          <w:rFonts w:asciiTheme="majorBidi" w:hAnsiTheme="majorBidi" w:cstheme="majorBidi"/>
          <w:sz w:val="24"/>
          <w:szCs w:val="24"/>
        </w:rPr>
        <w:t xml:space="preserve">2.5µmol/L </w:t>
      </w:r>
      <w:r w:rsidRPr="00BE1B93">
        <w:rPr>
          <w:rFonts w:asciiTheme="majorBidi" w:hAnsiTheme="majorBidi" w:cstheme="majorBidi"/>
          <w:sz w:val="24"/>
          <w:szCs w:val="24"/>
        </w:rPr>
        <w:t>of 5FU</w:t>
      </w:r>
      <w:r>
        <w:rPr>
          <w:rFonts w:asciiTheme="majorBidi" w:hAnsiTheme="majorBidi" w:cstheme="majorBidi"/>
          <w:sz w:val="24"/>
          <w:szCs w:val="24"/>
        </w:rPr>
        <w:t>,</w:t>
      </w:r>
      <w:r w:rsidRPr="00BE1B93">
        <w:rPr>
          <w:rFonts w:asciiTheme="majorBidi" w:hAnsiTheme="majorBidi" w:cstheme="majorBidi"/>
          <w:sz w:val="24"/>
          <w:szCs w:val="24"/>
        </w:rPr>
        <w:t xml:space="preserve"> CPT11</w:t>
      </w:r>
      <w:r>
        <w:rPr>
          <w:rFonts w:asciiTheme="majorBidi" w:hAnsiTheme="majorBidi" w:cstheme="majorBidi"/>
          <w:sz w:val="24"/>
          <w:szCs w:val="24"/>
        </w:rPr>
        <w:t xml:space="preserve"> or 5FU and CPT11</w:t>
      </w:r>
      <w:r w:rsidRPr="00BE1B93">
        <w:rPr>
          <w:rFonts w:asciiTheme="majorBidi" w:hAnsiTheme="majorBidi" w:cstheme="majorBidi"/>
          <w:sz w:val="24"/>
          <w:szCs w:val="24"/>
        </w:rPr>
        <w:t xml:space="preserve"> for</w:t>
      </w:r>
      <w:r>
        <w:rPr>
          <w:rFonts w:asciiTheme="majorBidi" w:hAnsiTheme="majorBidi" w:cstheme="majorBidi"/>
          <w:sz w:val="24"/>
          <w:szCs w:val="24"/>
        </w:rPr>
        <w:t xml:space="preserve"> 3 days. Cultured MDSCs were analyzed </w:t>
      </w:r>
      <w:r w:rsidRPr="007A36AC">
        <w:rPr>
          <w:rFonts w:ascii="Times New Roman" w:hAnsi="Times New Roman"/>
          <w:sz w:val="24"/>
          <w:szCs w:val="24"/>
        </w:rPr>
        <w:t xml:space="preserve">for </w:t>
      </w:r>
      <w:r>
        <w:rPr>
          <w:rFonts w:ascii="Times New Roman" w:hAnsi="Times New Roman"/>
          <w:sz w:val="24"/>
          <w:szCs w:val="24"/>
        </w:rPr>
        <w:t>cleaved caspase-3 expression (MFI)</w:t>
      </w:r>
      <w:r w:rsidRPr="007A36AC">
        <w:rPr>
          <w:rFonts w:ascii="Times New Roman" w:hAnsi="Times New Roman"/>
          <w:sz w:val="24"/>
          <w:szCs w:val="24"/>
        </w:rPr>
        <w:t xml:space="preserve"> by flow cytometry analysis gaiting on </w:t>
      </w:r>
      <w:r>
        <w:rPr>
          <w:rFonts w:ascii="Times New Roman" w:hAnsi="Times New Roman"/>
          <w:sz w:val="24"/>
          <w:szCs w:val="24"/>
        </w:rPr>
        <w:t>CD11b</w:t>
      </w:r>
      <w:r w:rsidRPr="006F7D7E">
        <w:rPr>
          <w:rFonts w:ascii="Times New Roman" w:hAnsi="Times New Roman"/>
          <w:sz w:val="24"/>
          <w:szCs w:val="24"/>
          <w:vertAlign w:val="superscript"/>
        </w:rPr>
        <w:t>+</w:t>
      </w:r>
      <w:r>
        <w:rPr>
          <w:rFonts w:ascii="Times New Roman" w:hAnsi="Times New Roman"/>
          <w:sz w:val="24"/>
          <w:szCs w:val="24"/>
        </w:rPr>
        <w:t>Ly6C</w:t>
      </w:r>
      <w:r w:rsidRPr="006F7D7E">
        <w:rPr>
          <w:rFonts w:ascii="Times New Roman" w:hAnsi="Times New Roman"/>
          <w:sz w:val="24"/>
          <w:szCs w:val="24"/>
          <w:vertAlign w:val="superscript"/>
        </w:rPr>
        <w:t>high</w:t>
      </w:r>
      <w:r>
        <w:rPr>
          <w:rFonts w:ascii="Times New Roman" w:hAnsi="Times New Roman"/>
          <w:sz w:val="24"/>
          <w:szCs w:val="24"/>
        </w:rPr>
        <w:t xml:space="preserve"> Ly6G</w:t>
      </w:r>
      <w:r w:rsidRPr="006F7D7E">
        <w:rPr>
          <w:rFonts w:ascii="Times New Roman" w:hAnsi="Times New Roman"/>
          <w:sz w:val="24"/>
          <w:szCs w:val="24"/>
          <w:vertAlign w:val="superscript"/>
        </w:rPr>
        <w:t>-</w:t>
      </w:r>
      <w:r>
        <w:rPr>
          <w:rFonts w:ascii="Times New Roman" w:hAnsi="Times New Roman"/>
          <w:sz w:val="24"/>
          <w:szCs w:val="24"/>
          <w:vertAlign w:val="superscript"/>
        </w:rPr>
        <w:t xml:space="preserve"> </w:t>
      </w:r>
      <w:r>
        <w:rPr>
          <w:rFonts w:ascii="Times New Roman" w:hAnsi="Times New Roman"/>
          <w:sz w:val="24"/>
          <w:szCs w:val="24"/>
        </w:rPr>
        <w:t>monocytic MDSCs (M-MDSCs) (left) and CD11b</w:t>
      </w:r>
      <w:r w:rsidRPr="006F7D7E">
        <w:rPr>
          <w:rFonts w:ascii="Times New Roman" w:hAnsi="Times New Roman"/>
          <w:sz w:val="24"/>
          <w:szCs w:val="24"/>
          <w:vertAlign w:val="superscript"/>
        </w:rPr>
        <w:t>+</w:t>
      </w:r>
      <w:r>
        <w:rPr>
          <w:rFonts w:ascii="Times New Roman" w:hAnsi="Times New Roman"/>
          <w:sz w:val="24"/>
          <w:szCs w:val="24"/>
        </w:rPr>
        <w:t>Ly6C</w:t>
      </w:r>
      <w:r w:rsidRPr="006F7D7E">
        <w:rPr>
          <w:rFonts w:ascii="Times New Roman" w:hAnsi="Times New Roman"/>
          <w:sz w:val="24"/>
          <w:szCs w:val="24"/>
          <w:vertAlign w:val="superscript"/>
        </w:rPr>
        <w:t>low</w:t>
      </w:r>
      <w:r>
        <w:rPr>
          <w:rFonts w:ascii="Times New Roman" w:hAnsi="Times New Roman"/>
          <w:sz w:val="24"/>
          <w:szCs w:val="24"/>
        </w:rPr>
        <w:t>Ly6G</w:t>
      </w:r>
      <w:r w:rsidRPr="006F7D7E">
        <w:rPr>
          <w:rFonts w:ascii="Times New Roman" w:hAnsi="Times New Roman"/>
          <w:sz w:val="24"/>
          <w:szCs w:val="24"/>
          <w:vertAlign w:val="superscript"/>
        </w:rPr>
        <w:t>+</w:t>
      </w:r>
      <w:r>
        <w:rPr>
          <w:rFonts w:ascii="Times New Roman" w:hAnsi="Times New Roman"/>
          <w:sz w:val="24"/>
          <w:szCs w:val="24"/>
        </w:rPr>
        <w:t xml:space="preserve"> granulocytic MDSCs (G-MDSCs) (right) sub-populations.</w:t>
      </w:r>
      <w:r>
        <w:rPr>
          <w:rFonts w:asciiTheme="majorBidi" w:hAnsiTheme="majorBidi" w:cstheme="majorBidi"/>
          <w:sz w:val="24"/>
          <w:szCs w:val="24"/>
        </w:rPr>
        <w:t xml:space="preserve"> (</w:t>
      </w:r>
      <w:r w:rsidRPr="00947A79">
        <w:rPr>
          <w:rFonts w:asciiTheme="majorBidi" w:hAnsiTheme="majorBidi" w:cstheme="majorBidi"/>
          <w:b/>
          <w:bCs/>
          <w:sz w:val="24"/>
          <w:szCs w:val="24"/>
        </w:rPr>
        <w:t>B</w:t>
      </w:r>
      <w:r>
        <w:rPr>
          <w:rFonts w:asciiTheme="majorBidi" w:hAnsiTheme="majorBidi" w:cstheme="majorBidi"/>
          <w:sz w:val="24"/>
          <w:szCs w:val="24"/>
        </w:rPr>
        <w:t xml:space="preserve">) </w:t>
      </w:r>
      <w:r w:rsidR="00BE1B93" w:rsidRPr="00BE1B93">
        <w:rPr>
          <w:rFonts w:asciiTheme="majorBidi" w:hAnsiTheme="majorBidi" w:cstheme="majorBidi"/>
          <w:sz w:val="24"/>
          <w:szCs w:val="24"/>
        </w:rPr>
        <w:t>5FU or CPT11 treatments do not alter cleaved caspase-3 expression in T (CD3</w:t>
      </w:r>
      <w:r w:rsidR="00BE1B93" w:rsidRPr="00BE1B93">
        <w:rPr>
          <w:rFonts w:asciiTheme="majorBidi" w:hAnsiTheme="majorBidi" w:cstheme="majorBidi"/>
          <w:sz w:val="24"/>
          <w:szCs w:val="24"/>
          <w:vertAlign w:val="superscript"/>
        </w:rPr>
        <w:t>+</w:t>
      </w:r>
      <w:r w:rsidR="00BE1B93" w:rsidRPr="00BE1B93">
        <w:rPr>
          <w:rFonts w:asciiTheme="majorBidi" w:hAnsiTheme="majorBidi" w:cstheme="majorBidi"/>
          <w:sz w:val="24"/>
          <w:szCs w:val="24"/>
        </w:rPr>
        <w:t>)</w:t>
      </w:r>
      <w:r>
        <w:rPr>
          <w:rFonts w:asciiTheme="majorBidi" w:hAnsiTheme="majorBidi" w:cstheme="majorBidi"/>
          <w:sz w:val="24"/>
          <w:szCs w:val="24"/>
        </w:rPr>
        <w:t xml:space="preserve"> (left)</w:t>
      </w:r>
      <w:r w:rsidR="00BE1B93" w:rsidRPr="00BE1B93">
        <w:rPr>
          <w:rFonts w:asciiTheme="majorBidi" w:hAnsiTheme="majorBidi" w:cstheme="majorBidi"/>
          <w:sz w:val="24"/>
          <w:szCs w:val="24"/>
        </w:rPr>
        <w:t>- and B (B220</w:t>
      </w:r>
      <w:r w:rsidR="00BE1B93" w:rsidRPr="00BE1B93">
        <w:rPr>
          <w:rFonts w:asciiTheme="majorBidi" w:hAnsiTheme="majorBidi" w:cstheme="majorBidi"/>
          <w:sz w:val="24"/>
          <w:szCs w:val="24"/>
          <w:vertAlign w:val="superscript"/>
        </w:rPr>
        <w:t>+</w:t>
      </w:r>
      <w:r w:rsidR="00BE1B93" w:rsidRPr="00BE1B93">
        <w:rPr>
          <w:rFonts w:asciiTheme="majorBidi" w:hAnsiTheme="majorBidi" w:cstheme="majorBidi"/>
          <w:sz w:val="24"/>
          <w:szCs w:val="24"/>
        </w:rPr>
        <w:t>)</w:t>
      </w:r>
      <w:r>
        <w:rPr>
          <w:rFonts w:asciiTheme="majorBidi" w:hAnsiTheme="majorBidi" w:cstheme="majorBidi"/>
          <w:sz w:val="24"/>
          <w:szCs w:val="24"/>
        </w:rPr>
        <w:t xml:space="preserve"> (right)</w:t>
      </w:r>
      <w:r w:rsidR="00BE1B93" w:rsidRPr="00BE1B93">
        <w:rPr>
          <w:rFonts w:asciiTheme="majorBidi" w:hAnsiTheme="majorBidi" w:cstheme="majorBidi"/>
          <w:sz w:val="24"/>
          <w:szCs w:val="24"/>
        </w:rPr>
        <w:t xml:space="preserve">-lymphocytes. Splenic T- and B- cells from each group were analyzed for the expression of activated (cleaved) caspase-3 by flow cytometry analysis. All </w:t>
      </w:r>
      <w:r w:rsidRPr="00947A79">
        <w:rPr>
          <w:rFonts w:asciiTheme="majorBidi" w:hAnsiTheme="majorBidi" w:cstheme="majorBidi"/>
          <w:i/>
          <w:iCs/>
          <w:sz w:val="24"/>
          <w:szCs w:val="24"/>
        </w:rPr>
        <w:t>ex vivo</w:t>
      </w:r>
      <w:r>
        <w:rPr>
          <w:rFonts w:asciiTheme="majorBidi" w:hAnsiTheme="majorBidi" w:cstheme="majorBidi"/>
          <w:sz w:val="24"/>
          <w:szCs w:val="24"/>
        </w:rPr>
        <w:t xml:space="preserve"> </w:t>
      </w:r>
      <w:r w:rsidR="00BE1B93" w:rsidRPr="00BE1B93">
        <w:rPr>
          <w:rFonts w:asciiTheme="majorBidi" w:hAnsiTheme="majorBidi" w:cstheme="majorBidi"/>
          <w:sz w:val="24"/>
          <w:szCs w:val="24"/>
        </w:rPr>
        <w:t xml:space="preserve">experiments involved </w:t>
      </w:r>
      <w:r>
        <w:rPr>
          <w:rFonts w:asciiTheme="majorBidi" w:hAnsiTheme="majorBidi" w:cstheme="majorBidi"/>
          <w:sz w:val="24"/>
          <w:szCs w:val="24"/>
        </w:rPr>
        <w:t xml:space="preserve">5 and </w:t>
      </w:r>
      <w:r w:rsidRPr="00947A79">
        <w:rPr>
          <w:rFonts w:asciiTheme="majorBidi" w:hAnsiTheme="majorBidi" w:cstheme="majorBidi"/>
          <w:i/>
          <w:iCs/>
          <w:sz w:val="24"/>
          <w:szCs w:val="24"/>
        </w:rPr>
        <w:t>in vivo</w:t>
      </w:r>
      <w:r>
        <w:rPr>
          <w:rFonts w:asciiTheme="majorBidi" w:hAnsiTheme="majorBidi" w:cstheme="majorBidi"/>
          <w:sz w:val="24"/>
          <w:szCs w:val="24"/>
        </w:rPr>
        <w:t xml:space="preserve"> experiments </w:t>
      </w:r>
      <w:r w:rsidR="00BE1B93" w:rsidRPr="00BE1B93">
        <w:rPr>
          <w:rFonts w:asciiTheme="majorBidi" w:hAnsiTheme="majorBidi" w:cstheme="majorBidi"/>
          <w:sz w:val="24"/>
          <w:szCs w:val="24"/>
        </w:rPr>
        <w:t xml:space="preserve">6 mice per group and were repeated three times yielding similar results. Graphs (means of triplicates ± </w:t>
      </w:r>
      <w:proofErr w:type="spellStart"/>
      <w:r w:rsidR="00BE1B93" w:rsidRPr="00BE1B93">
        <w:rPr>
          <w:rFonts w:asciiTheme="majorBidi" w:hAnsiTheme="majorBidi" w:cstheme="majorBidi"/>
          <w:sz w:val="24"/>
          <w:szCs w:val="24"/>
        </w:rPr>
        <w:t>s.e.m</w:t>
      </w:r>
      <w:proofErr w:type="spellEnd"/>
      <w:r w:rsidR="00BE1B93" w:rsidRPr="00BE1B93">
        <w:rPr>
          <w:rFonts w:asciiTheme="majorBidi" w:hAnsiTheme="majorBidi" w:cstheme="majorBidi"/>
          <w:sz w:val="24"/>
          <w:szCs w:val="24"/>
        </w:rPr>
        <w:t xml:space="preserve">., </w:t>
      </w:r>
      <w:r w:rsidR="00BE1B93" w:rsidRPr="00BE1B93">
        <w:rPr>
          <w:rFonts w:asciiTheme="majorBidi" w:hAnsiTheme="majorBidi" w:cstheme="majorBidi"/>
          <w:i/>
          <w:iCs/>
          <w:sz w:val="24"/>
          <w:szCs w:val="24"/>
        </w:rPr>
        <w:t>n</w:t>
      </w:r>
      <w:r w:rsidR="00BE1B93" w:rsidRPr="00BE1B93">
        <w:rPr>
          <w:rFonts w:asciiTheme="majorBidi" w:hAnsiTheme="majorBidi" w:cstheme="majorBidi"/>
          <w:sz w:val="24"/>
          <w:szCs w:val="24"/>
        </w:rPr>
        <w:t xml:space="preserve">=6) are representative of a typical experiment out of three performed. </w:t>
      </w:r>
    </w:p>
    <w:p w:rsidR="00BE1B93" w:rsidRDefault="00BE1B93" w:rsidP="00BE1B93">
      <w:pPr>
        <w:bidi w:val="0"/>
        <w:ind w:left="-993"/>
        <w:jc w:val="both"/>
        <w:rPr>
          <w:rFonts w:asciiTheme="majorBidi" w:hAnsiTheme="majorBidi" w:cstheme="majorBidi"/>
          <w:sz w:val="24"/>
          <w:szCs w:val="24"/>
        </w:rPr>
      </w:pPr>
    </w:p>
    <w:p w:rsidR="00BE1B93" w:rsidRPr="00BE1B93" w:rsidRDefault="00BE1B93" w:rsidP="00581EB7">
      <w:pPr>
        <w:bidi w:val="0"/>
        <w:ind w:left="-993"/>
        <w:jc w:val="both"/>
        <w:rPr>
          <w:rFonts w:asciiTheme="majorBidi" w:hAnsiTheme="majorBidi" w:cstheme="majorBidi"/>
          <w:sz w:val="24"/>
          <w:szCs w:val="24"/>
        </w:rPr>
      </w:pPr>
      <w:proofErr w:type="gramStart"/>
      <w:r w:rsidRPr="00BE1B93">
        <w:rPr>
          <w:rFonts w:asciiTheme="majorBidi" w:hAnsiTheme="majorBidi" w:cstheme="majorBidi"/>
          <w:b/>
          <w:bCs/>
          <w:sz w:val="24"/>
          <w:szCs w:val="24"/>
        </w:rPr>
        <w:t xml:space="preserve">Supplementary Figure </w:t>
      </w:r>
      <w:r w:rsidR="00581EB7" w:rsidRPr="00BE1B93">
        <w:rPr>
          <w:rFonts w:asciiTheme="majorBidi" w:hAnsiTheme="majorBidi" w:cstheme="majorBidi"/>
          <w:b/>
          <w:bCs/>
          <w:sz w:val="24"/>
          <w:szCs w:val="24"/>
        </w:rPr>
        <w:t>S</w:t>
      </w:r>
      <w:r w:rsidR="00581EB7">
        <w:rPr>
          <w:rFonts w:asciiTheme="majorBidi" w:hAnsiTheme="majorBidi" w:cstheme="majorBidi"/>
          <w:b/>
          <w:bCs/>
          <w:sz w:val="24"/>
          <w:szCs w:val="24"/>
        </w:rPr>
        <w:t>7</w:t>
      </w:r>
      <w:r w:rsidRPr="00BE1B93">
        <w:rPr>
          <w:rFonts w:asciiTheme="majorBidi" w:hAnsiTheme="majorBidi" w:cstheme="majorBidi"/>
          <w:b/>
          <w:bCs/>
          <w:sz w:val="24"/>
          <w:szCs w:val="24"/>
        </w:rPr>
        <w:t>.</w:t>
      </w:r>
      <w:proofErr w:type="gramEnd"/>
      <w:r w:rsidRPr="00BE1B93">
        <w:rPr>
          <w:rFonts w:asciiTheme="majorBidi" w:hAnsiTheme="majorBidi" w:cstheme="majorBidi"/>
          <w:b/>
          <w:bCs/>
          <w:sz w:val="24"/>
          <w:szCs w:val="24"/>
        </w:rPr>
        <w:t xml:space="preserve"> </w:t>
      </w:r>
    </w:p>
    <w:p w:rsidR="00BE1B93" w:rsidRPr="00BE1B93" w:rsidRDefault="00BE1B93" w:rsidP="00BE1B93">
      <w:pPr>
        <w:bidi w:val="0"/>
        <w:ind w:left="-993"/>
        <w:jc w:val="both"/>
        <w:rPr>
          <w:rFonts w:asciiTheme="majorBidi" w:hAnsiTheme="majorBidi" w:cstheme="majorBidi"/>
          <w:sz w:val="24"/>
          <w:szCs w:val="24"/>
          <w:rtl/>
        </w:rPr>
      </w:pPr>
      <w:r w:rsidRPr="00BE1B93">
        <w:rPr>
          <w:rFonts w:asciiTheme="majorBidi" w:hAnsiTheme="majorBidi" w:cstheme="majorBidi"/>
          <w:sz w:val="24"/>
          <w:szCs w:val="24"/>
        </w:rPr>
        <w:t>5FU and CPT11 treatments display opposite effects on mRNA expression levels of pro-inflammatory molecules. (</w:t>
      </w:r>
      <w:r w:rsidRPr="00BE1B93">
        <w:rPr>
          <w:rFonts w:asciiTheme="majorBidi" w:hAnsiTheme="majorBidi" w:cstheme="majorBidi"/>
          <w:b/>
          <w:bCs/>
          <w:sz w:val="24"/>
          <w:szCs w:val="24"/>
        </w:rPr>
        <w:t>A</w:t>
      </w:r>
      <w:r w:rsidRPr="00BE1B93">
        <w:rPr>
          <w:rFonts w:asciiTheme="majorBidi" w:hAnsiTheme="majorBidi" w:cstheme="majorBidi"/>
          <w:sz w:val="24"/>
          <w:szCs w:val="24"/>
        </w:rPr>
        <w:t xml:space="preserve">) </w:t>
      </w:r>
      <w:proofErr w:type="gramStart"/>
      <w:r w:rsidRPr="00BE1B93">
        <w:rPr>
          <w:rFonts w:asciiTheme="majorBidi" w:hAnsiTheme="majorBidi" w:cstheme="majorBidi"/>
          <w:sz w:val="24"/>
          <w:szCs w:val="24"/>
        </w:rPr>
        <w:t>mRNA</w:t>
      </w:r>
      <w:proofErr w:type="gramEnd"/>
      <w:r w:rsidRPr="00BE1B93">
        <w:rPr>
          <w:rFonts w:asciiTheme="majorBidi" w:hAnsiTheme="majorBidi" w:cstheme="majorBidi"/>
          <w:sz w:val="24"/>
          <w:szCs w:val="24"/>
        </w:rPr>
        <w:t xml:space="preserve"> levels of S100A8/9 in the colon of CRC-mice treated with 5FU or CPT11 relative to the expression in untreated CRC-mice were evaluated by Real Time PCR analysis. (</w:t>
      </w:r>
      <w:r w:rsidRPr="00BE1B93">
        <w:rPr>
          <w:rFonts w:asciiTheme="majorBidi" w:hAnsiTheme="majorBidi" w:cstheme="majorBidi"/>
          <w:b/>
          <w:bCs/>
          <w:sz w:val="24"/>
          <w:szCs w:val="24"/>
        </w:rPr>
        <w:t>B-C</w:t>
      </w:r>
      <w:r w:rsidRPr="00BE1B93">
        <w:rPr>
          <w:rFonts w:asciiTheme="majorBidi" w:hAnsiTheme="majorBidi" w:cstheme="majorBidi"/>
          <w:sz w:val="24"/>
          <w:szCs w:val="24"/>
        </w:rPr>
        <w:t>) To assess the effect of 5FU and CPT11 on pro-inflammatory molecules generated by MDSCs, MDSCs isolated from spleens of CRC-mice (</w:t>
      </w:r>
      <w:r w:rsidRPr="00BE1B93">
        <w:rPr>
          <w:rFonts w:asciiTheme="majorBidi" w:hAnsiTheme="majorBidi" w:cstheme="majorBidi"/>
          <w:i/>
          <w:iCs/>
          <w:sz w:val="24"/>
          <w:szCs w:val="24"/>
        </w:rPr>
        <w:t>n</w:t>
      </w:r>
      <w:r w:rsidRPr="00BE1B93">
        <w:rPr>
          <w:rFonts w:asciiTheme="majorBidi" w:hAnsiTheme="majorBidi" w:cstheme="majorBidi"/>
          <w:sz w:val="24"/>
          <w:szCs w:val="24"/>
        </w:rPr>
        <w:t xml:space="preserve">=4) were cultured </w:t>
      </w:r>
      <w:r w:rsidRPr="00BE1B93">
        <w:rPr>
          <w:rFonts w:asciiTheme="majorBidi" w:hAnsiTheme="majorBidi" w:cstheme="majorBidi"/>
          <w:i/>
          <w:iCs/>
          <w:sz w:val="24"/>
          <w:szCs w:val="24"/>
        </w:rPr>
        <w:t>ex vivo</w:t>
      </w:r>
      <w:r w:rsidRPr="00BE1B93">
        <w:rPr>
          <w:rFonts w:asciiTheme="majorBidi" w:hAnsiTheme="majorBidi" w:cstheme="majorBidi"/>
          <w:sz w:val="24"/>
          <w:szCs w:val="24"/>
        </w:rPr>
        <w:t xml:space="preserve"> in the presence of scaled-doses (0, 1.25, 2.5, 5 and 10µmol/L) of 5FU or CPT11 for 3days. TNFα (</w:t>
      </w:r>
      <w:r w:rsidRPr="00BE1B93">
        <w:rPr>
          <w:rFonts w:asciiTheme="majorBidi" w:hAnsiTheme="majorBidi" w:cstheme="majorBidi"/>
          <w:b/>
          <w:bCs/>
          <w:sz w:val="24"/>
          <w:szCs w:val="24"/>
        </w:rPr>
        <w:t>B</w:t>
      </w:r>
      <w:r w:rsidRPr="00BE1B93">
        <w:rPr>
          <w:rFonts w:asciiTheme="majorBidi" w:hAnsiTheme="majorBidi" w:cstheme="majorBidi"/>
          <w:sz w:val="24"/>
          <w:szCs w:val="24"/>
        </w:rPr>
        <w:t>) and S100A9 (</w:t>
      </w:r>
      <w:r w:rsidRPr="00BE1B93">
        <w:rPr>
          <w:rFonts w:asciiTheme="majorBidi" w:hAnsiTheme="majorBidi" w:cstheme="majorBidi"/>
          <w:b/>
          <w:bCs/>
          <w:sz w:val="24"/>
          <w:szCs w:val="24"/>
        </w:rPr>
        <w:t>C</w:t>
      </w:r>
      <w:r w:rsidRPr="00BE1B93">
        <w:rPr>
          <w:rFonts w:asciiTheme="majorBidi" w:hAnsiTheme="majorBidi" w:cstheme="majorBidi"/>
          <w:sz w:val="24"/>
          <w:szCs w:val="24"/>
        </w:rPr>
        <w:t xml:space="preserve">) mRNA levels were then evaluated by Real Time PCR analysis performed on the primary MDSCs. Graphs (means of triplicates ± </w:t>
      </w:r>
      <w:proofErr w:type="spellStart"/>
      <w:r w:rsidRPr="00BE1B93">
        <w:rPr>
          <w:rFonts w:asciiTheme="majorBidi" w:hAnsiTheme="majorBidi" w:cstheme="majorBidi"/>
          <w:sz w:val="24"/>
          <w:szCs w:val="24"/>
        </w:rPr>
        <w:t>s.e.m</w:t>
      </w:r>
      <w:proofErr w:type="spellEnd"/>
      <w:r w:rsidRPr="00BE1B93">
        <w:rPr>
          <w:rFonts w:asciiTheme="majorBidi" w:hAnsiTheme="majorBidi" w:cstheme="majorBidi"/>
          <w:sz w:val="24"/>
          <w:szCs w:val="24"/>
        </w:rPr>
        <w:t xml:space="preserve">., </w:t>
      </w:r>
      <w:r w:rsidRPr="00BE1B93">
        <w:rPr>
          <w:rFonts w:asciiTheme="majorBidi" w:hAnsiTheme="majorBidi" w:cstheme="majorBidi"/>
          <w:i/>
          <w:iCs/>
          <w:sz w:val="24"/>
          <w:szCs w:val="24"/>
        </w:rPr>
        <w:t>n</w:t>
      </w:r>
      <w:r w:rsidRPr="00BE1B93">
        <w:rPr>
          <w:rFonts w:asciiTheme="majorBidi" w:hAnsiTheme="majorBidi" w:cstheme="majorBidi"/>
          <w:sz w:val="24"/>
          <w:szCs w:val="24"/>
        </w:rPr>
        <w:t xml:space="preserve">=3) are representative of a typical experiment out of three independent performed. *, P&lt;0.05; **, </w:t>
      </w:r>
      <w:r w:rsidRPr="00BE1B93">
        <w:rPr>
          <w:rFonts w:asciiTheme="majorBidi" w:hAnsiTheme="majorBidi" w:cstheme="majorBidi"/>
          <w:i/>
          <w:iCs/>
          <w:sz w:val="24"/>
          <w:szCs w:val="24"/>
        </w:rPr>
        <w:t>P</w:t>
      </w:r>
      <w:r w:rsidRPr="00BE1B93">
        <w:rPr>
          <w:rFonts w:asciiTheme="majorBidi" w:hAnsiTheme="majorBidi" w:cstheme="majorBidi"/>
          <w:sz w:val="24"/>
          <w:szCs w:val="24"/>
        </w:rPr>
        <w:t>&lt;0.01.</w:t>
      </w:r>
    </w:p>
    <w:p w:rsidR="00BE1B93" w:rsidRDefault="00BE1B93" w:rsidP="00BE1B93">
      <w:pPr>
        <w:bidi w:val="0"/>
        <w:ind w:left="-993"/>
        <w:jc w:val="both"/>
        <w:rPr>
          <w:rFonts w:asciiTheme="majorBidi" w:hAnsiTheme="majorBidi" w:cstheme="majorBidi"/>
          <w:sz w:val="24"/>
          <w:szCs w:val="24"/>
        </w:rPr>
      </w:pPr>
    </w:p>
    <w:p w:rsidR="00BE1B93" w:rsidRPr="00BE1B93" w:rsidRDefault="00BE1B93" w:rsidP="00581EB7">
      <w:pPr>
        <w:bidi w:val="0"/>
        <w:ind w:left="-993"/>
        <w:jc w:val="both"/>
        <w:rPr>
          <w:rFonts w:asciiTheme="majorBidi" w:hAnsiTheme="majorBidi" w:cstheme="majorBidi"/>
          <w:sz w:val="24"/>
          <w:szCs w:val="24"/>
        </w:rPr>
      </w:pPr>
      <w:proofErr w:type="gramStart"/>
      <w:r w:rsidRPr="00BE1B93">
        <w:rPr>
          <w:rFonts w:asciiTheme="majorBidi" w:hAnsiTheme="majorBidi" w:cstheme="majorBidi"/>
          <w:b/>
          <w:bCs/>
          <w:sz w:val="24"/>
          <w:szCs w:val="24"/>
        </w:rPr>
        <w:t xml:space="preserve">Supplementary Figure </w:t>
      </w:r>
      <w:r w:rsidR="00581EB7" w:rsidRPr="00BE1B93">
        <w:rPr>
          <w:rFonts w:asciiTheme="majorBidi" w:hAnsiTheme="majorBidi" w:cstheme="majorBidi"/>
          <w:b/>
          <w:bCs/>
          <w:sz w:val="24"/>
          <w:szCs w:val="24"/>
        </w:rPr>
        <w:t>S</w:t>
      </w:r>
      <w:r w:rsidR="00581EB7">
        <w:rPr>
          <w:rFonts w:asciiTheme="majorBidi" w:hAnsiTheme="majorBidi" w:cstheme="majorBidi"/>
          <w:b/>
          <w:bCs/>
          <w:sz w:val="24"/>
          <w:szCs w:val="24"/>
        </w:rPr>
        <w:t>8</w:t>
      </w:r>
      <w:r w:rsidRPr="00BE1B93">
        <w:rPr>
          <w:rFonts w:asciiTheme="majorBidi" w:hAnsiTheme="majorBidi" w:cstheme="majorBidi"/>
          <w:b/>
          <w:bCs/>
          <w:sz w:val="24"/>
          <w:szCs w:val="24"/>
        </w:rPr>
        <w:t>.</w:t>
      </w:r>
      <w:proofErr w:type="gramEnd"/>
      <w:r w:rsidRPr="00BE1B93">
        <w:rPr>
          <w:rFonts w:asciiTheme="majorBidi" w:hAnsiTheme="majorBidi" w:cstheme="majorBidi"/>
          <w:b/>
          <w:bCs/>
          <w:sz w:val="24"/>
          <w:szCs w:val="24"/>
        </w:rPr>
        <w:t xml:space="preserve"> </w:t>
      </w:r>
    </w:p>
    <w:p w:rsidR="00BE1B93" w:rsidRPr="00BE1B93" w:rsidRDefault="00BE1B93" w:rsidP="00C862F9">
      <w:pPr>
        <w:bidi w:val="0"/>
        <w:ind w:left="-993"/>
        <w:jc w:val="both"/>
        <w:rPr>
          <w:rFonts w:asciiTheme="majorBidi" w:hAnsiTheme="majorBidi" w:cstheme="majorBidi"/>
          <w:sz w:val="24"/>
          <w:szCs w:val="24"/>
          <w:rtl/>
        </w:rPr>
      </w:pPr>
      <w:r w:rsidRPr="00BE1B93">
        <w:rPr>
          <w:rFonts w:asciiTheme="majorBidi" w:hAnsiTheme="majorBidi" w:cstheme="majorBidi"/>
          <w:sz w:val="24"/>
          <w:szCs w:val="24"/>
        </w:rPr>
        <w:t>5FU and CPT11 treatments differently affect the immunological profile of mice exhibiting a pathology free chronic inflammation. MDSC accumulation in the spleen was evaluated by flow cytometry analysis. Graph represents the absolute number of MDSCs within the spleen of normal, inflamed and inflamed mice treated with 5FU</w:t>
      </w:r>
      <w:r w:rsidR="00581EB7">
        <w:rPr>
          <w:rFonts w:asciiTheme="majorBidi" w:hAnsiTheme="majorBidi" w:cstheme="majorBidi"/>
          <w:sz w:val="24"/>
          <w:szCs w:val="24"/>
        </w:rPr>
        <w:t>,</w:t>
      </w:r>
      <w:r w:rsidRPr="00BE1B93">
        <w:rPr>
          <w:rFonts w:asciiTheme="majorBidi" w:hAnsiTheme="majorBidi" w:cstheme="majorBidi"/>
          <w:sz w:val="24"/>
          <w:szCs w:val="24"/>
        </w:rPr>
        <w:t xml:space="preserve"> CPT11</w:t>
      </w:r>
      <w:r w:rsidR="00581EB7">
        <w:rPr>
          <w:rFonts w:asciiTheme="majorBidi" w:hAnsiTheme="majorBidi" w:cstheme="majorBidi"/>
          <w:sz w:val="24"/>
          <w:szCs w:val="24"/>
        </w:rPr>
        <w:t xml:space="preserve"> or 5FU/CPT11</w:t>
      </w:r>
      <w:r w:rsidRPr="00BE1B93">
        <w:rPr>
          <w:rFonts w:asciiTheme="majorBidi" w:hAnsiTheme="majorBidi" w:cstheme="majorBidi"/>
          <w:sz w:val="24"/>
          <w:szCs w:val="24"/>
        </w:rPr>
        <w:t xml:space="preserve"> (</w:t>
      </w:r>
      <w:r w:rsidRPr="00BE1B93">
        <w:rPr>
          <w:rFonts w:asciiTheme="majorBidi" w:hAnsiTheme="majorBidi" w:cstheme="majorBidi"/>
          <w:b/>
          <w:bCs/>
          <w:sz w:val="24"/>
          <w:szCs w:val="24"/>
        </w:rPr>
        <w:t>A</w:t>
      </w:r>
      <w:r w:rsidRPr="00BE1B93">
        <w:rPr>
          <w:rFonts w:asciiTheme="majorBidi" w:hAnsiTheme="majorBidi" w:cstheme="majorBidi"/>
          <w:sz w:val="24"/>
          <w:szCs w:val="24"/>
        </w:rPr>
        <w:t>). Tregs derived from the spleens of each experimental group were evaluated by measuring CD4</w:t>
      </w:r>
      <w:r w:rsidRPr="00BE1B93">
        <w:rPr>
          <w:rFonts w:asciiTheme="majorBidi" w:hAnsiTheme="majorBidi" w:cstheme="majorBidi"/>
          <w:sz w:val="24"/>
          <w:szCs w:val="24"/>
          <w:vertAlign w:val="superscript"/>
        </w:rPr>
        <w:t>+</w:t>
      </w:r>
      <w:r w:rsidRPr="00BE1B93">
        <w:rPr>
          <w:rFonts w:asciiTheme="majorBidi" w:hAnsiTheme="majorBidi" w:cstheme="majorBidi"/>
          <w:sz w:val="24"/>
          <w:szCs w:val="24"/>
        </w:rPr>
        <w:t>Foxp3</w:t>
      </w:r>
      <w:r w:rsidRPr="00BE1B93">
        <w:rPr>
          <w:rFonts w:asciiTheme="majorBidi" w:hAnsiTheme="majorBidi" w:cstheme="majorBidi"/>
          <w:sz w:val="24"/>
          <w:szCs w:val="24"/>
          <w:vertAlign w:val="superscript"/>
        </w:rPr>
        <w:t>+</w:t>
      </w:r>
      <w:r w:rsidRPr="00BE1B93">
        <w:rPr>
          <w:rFonts w:asciiTheme="majorBidi" w:hAnsiTheme="majorBidi" w:cstheme="majorBidi"/>
          <w:sz w:val="24"/>
          <w:szCs w:val="24"/>
        </w:rPr>
        <w:t>cells (</w:t>
      </w:r>
      <w:r w:rsidRPr="00BE1B93">
        <w:rPr>
          <w:rFonts w:asciiTheme="majorBidi" w:hAnsiTheme="majorBidi" w:cstheme="majorBidi"/>
          <w:b/>
          <w:bCs/>
          <w:sz w:val="24"/>
          <w:szCs w:val="24"/>
        </w:rPr>
        <w:t>B</w:t>
      </w:r>
      <w:r w:rsidRPr="00BE1B93">
        <w:rPr>
          <w:rFonts w:asciiTheme="majorBidi" w:hAnsiTheme="majorBidi" w:cstheme="majorBidi"/>
          <w:sz w:val="24"/>
          <w:szCs w:val="24"/>
        </w:rPr>
        <w:t xml:space="preserve">). </w:t>
      </w:r>
      <w:r w:rsidR="00C862F9">
        <w:rPr>
          <w:rFonts w:ascii="Times New Roman" w:hAnsi="Times New Roman"/>
          <w:sz w:val="24"/>
          <w:szCs w:val="24"/>
        </w:rPr>
        <w:t>T-cell</w:t>
      </w:r>
      <w:r w:rsidR="00C862F9" w:rsidRPr="007A36AC">
        <w:rPr>
          <w:rFonts w:ascii="Times New Roman" w:hAnsi="Times New Roman"/>
          <w:sz w:val="24"/>
          <w:szCs w:val="24"/>
        </w:rPr>
        <w:t xml:space="preserve"> proliferative response was assessed by monitoring cell divisions of gated CFSE-labeled </w:t>
      </w:r>
      <w:r w:rsidR="00C862F9">
        <w:rPr>
          <w:rFonts w:ascii="Times New Roman" w:hAnsi="Times New Roman"/>
          <w:sz w:val="24"/>
          <w:szCs w:val="24"/>
        </w:rPr>
        <w:t>CD8</w:t>
      </w:r>
      <w:r w:rsidR="00C862F9" w:rsidRPr="00C862F9">
        <w:rPr>
          <w:rFonts w:ascii="Times New Roman" w:hAnsi="Times New Roman"/>
          <w:sz w:val="24"/>
          <w:szCs w:val="24"/>
          <w:vertAlign w:val="superscript"/>
        </w:rPr>
        <w:t>+</w:t>
      </w:r>
      <w:r w:rsidR="00C862F9" w:rsidRPr="007A36AC">
        <w:rPr>
          <w:rFonts w:ascii="Times New Roman" w:hAnsi="Times New Roman"/>
          <w:sz w:val="24"/>
          <w:szCs w:val="24"/>
        </w:rPr>
        <w:t xml:space="preserve"> </w:t>
      </w:r>
      <w:r w:rsidR="00C862F9">
        <w:rPr>
          <w:rFonts w:ascii="Times New Roman" w:hAnsi="Times New Roman"/>
          <w:sz w:val="24"/>
          <w:szCs w:val="24"/>
        </w:rPr>
        <w:t>T-cell</w:t>
      </w:r>
      <w:r w:rsidR="00C862F9" w:rsidRPr="007A36AC">
        <w:rPr>
          <w:rFonts w:ascii="Times New Roman" w:hAnsi="Times New Roman"/>
          <w:sz w:val="24"/>
          <w:szCs w:val="24"/>
        </w:rPr>
        <w:t>s</w:t>
      </w:r>
      <w:r w:rsidR="00C862F9">
        <w:rPr>
          <w:rFonts w:ascii="Times New Roman" w:hAnsi="Times New Roman"/>
          <w:sz w:val="24"/>
          <w:szCs w:val="24"/>
        </w:rPr>
        <w:t xml:space="preserve"> upon TCR-CD28 mediated activation</w:t>
      </w:r>
      <w:r w:rsidR="00C862F9" w:rsidRPr="007A36AC">
        <w:rPr>
          <w:rFonts w:ascii="Times New Roman" w:hAnsi="Times New Roman"/>
          <w:sz w:val="24"/>
          <w:szCs w:val="24"/>
        </w:rPr>
        <w:t xml:space="preserve">. </w:t>
      </w:r>
      <w:r w:rsidR="00C862F9">
        <w:rPr>
          <w:rFonts w:ascii="Times New Roman" w:hAnsi="Times New Roman"/>
          <w:sz w:val="24"/>
          <w:szCs w:val="24"/>
        </w:rPr>
        <w:t>T</w:t>
      </w:r>
      <w:r w:rsidR="00C862F9" w:rsidRPr="007A36AC">
        <w:rPr>
          <w:rFonts w:ascii="Times New Roman" w:hAnsi="Times New Roman"/>
          <w:sz w:val="24"/>
          <w:szCs w:val="24"/>
        </w:rPr>
        <w:t>he percent of proliferating cells was calculated and compared to steady-state levels of non-activated cells in each group</w:t>
      </w:r>
      <w:r w:rsidR="00C862F9">
        <w:rPr>
          <w:rFonts w:asciiTheme="majorBidi" w:hAnsiTheme="majorBidi" w:cstheme="majorBidi"/>
          <w:sz w:val="24"/>
          <w:szCs w:val="24"/>
        </w:rPr>
        <w:t xml:space="preserve"> (</w:t>
      </w:r>
      <w:r w:rsidR="00C862F9" w:rsidRPr="00C862F9">
        <w:rPr>
          <w:rFonts w:asciiTheme="majorBidi" w:hAnsiTheme="majorBidi" w:cstheme="majorBidi"/>
          <w:b/>
          <w:bCs/>
          <w:sz w:val="24"/>
          <w:szCs w:val="24"/>
        </w:rPr>
        <w:t>C</w:t>
      </w:r>
      <w:r w:rsidR="00C862F9">
        <w:rPr>
          <w:rFonts w:asciiTheme="majorBidi" w:hAnsiTheme="majorBidi" w:cstheme="majorBidi"/>
          <w:sz w:val="24"/>
          <w:szCs w:val="24"/>
        </w:rPr>
        <w:t>)</w:t>
      </w:r>
      <w:r w:rsidR="00C862F9">
        <w:rPr>
          <w:rFonts w:ascii="Times New Roman" w:hAnsi="Times New Roman"/>
          <w:sz w:val="24"/>
          <w:szCs w:val="24"/>
        </w:rPr>
        <w:t>.</w:t>
      </w:r>
      <w:r w:rsidR="00C862F9" w:rsidRPr="007A36AC">
        <w:rPr>
          <w:rFonts w:ascii="Times New Roman" w:hAnsi="Times New Roman"/>
          <w:sz w:val="24"/>
          <w:szCs w:val="24"/>
        </w:rPr>
        <w:t xml:space="preserve"> </w:t>
      </w:r>
      <w:r w:rsidR="00C862F9" w:rsidRPr="00BE1B93">
        <w:rPr>
          <w:rFonts w:asciiTheme="majorBidi" w:hAnsiTheme="majorBidi" w:cstheme="majorBidi"/>
          <w:sz w:val="24"/>
          <w:szCs w:val="24"/>
        </w:rPr>
        <w:t>Splenocytes</w:t>
      </w:r>
      <w:r w:rsidR="00C862F9">
        <w:rPr>
          <w:rFonts w:asciiTheme="majorBidi" w:hAnsiTheme="majorBidi" w:cstheme="majorBidi"/>
          <w:sz w:val="24"/>
          <w:szCs w:val="24"/>
        </w:rPr>
        <w:t xml:space="preserve"> (left)</w:t>
      </w:r>
      <w:r w:rsidR="00C862F9" w:rsidRPr="00BE1B93">
        <w:rPr>
          <w:rFonts w:asciiTheme="majorBidi" w:hAnsiTheme="majorBidi" w:cstheme="majorBidi"/>
          <w:sz w:val="24"/>
          <w:szCs w:val="24"/>
        </w:rPr>
        <w:t xml:space="preserve"> and PBLs</w:t>
      </w:r>
      <w:r w:rsidR="00C862F9">
        <w:rPr>
          <w:rFonts w:asciiTheme="majorBidi" w:hAnsiTheme="majorBidi" w:cstheme="majorBidi"/>
          <w:sz w:val="24"/>
          <w:szCs w:val="24"/>
        </w:rPr>
        <w:t xml:space="preserve"> (right) </w:t>
      </w:r>
      <w:r w:rsidRPr="00BE1B93">
        <w:rPr>
          <w:rFonts w:asciiTheme="majorBidi" w:hAnsiTheme="majorBidi" w:cstheme="majorBidi"/>
          <w:sz w:val="24"/>
          <w:szCs w:val="24"/>
        </w:rPr>
        <w:t xml:space="preserve">from each </w:t>
      </w:r>
      <w:r w:rsidRPr="00BE1B93">
        <w:rPr>
          <w:rFonts w:asciiTheme="majorBidi" w:hAnsiTheme="majorBidi" w:cstheme="majorBidi"/>
          <w:sz w:val="24"/>
          <w:szCs w:val="24"/>
        </w:rPr>
        <w:lastRenderedPageBreak/>
        <w:t>experimental group were stained for CD247</w:t>
      </w:r>
      <w:r w:rsidR="00C862F9">
        <w:rPr>
          <w:rFonts w:asciiTheme="majorBidi" w:hAnsiTheme="majorBidi" w:cstheme="majorBidi"/>
          <w:sz w:val="24"/>
          <w:szCs w:val="24"/>
        </w:rPr>
        <w:t xml:space="preserve"> </w:t>
      </w:r>
      <w:r w:rsidR="00C862F9" w:rsidRPr="00BE1B93">
        <w:rPr>
          <w:rFonts w:asciiTheme="majorBidi" w:hAnsiTheme="majorBidi" w:cstheme="majorBidi"/>
          <w:sz w:val="24"/>
          <w:szCs w:val="24"/>
        </w:rPr>
        <w:t>(</w:t>
      </w:r>
      <w:r w:rsidR="00C862F9" w:rsidRPr="00BE1B93">
        <w:rPr>
          <w:rFonts w:asciiTheme="majorBidi" w:hAnsiTheme="majorBidi" w:cstheme="majorBidi"/>
          <w:b/>
          <w:bCs/>
          <w:sz w:val="24"/>
          <w:szCs w:val="24"/>
        </w:rPr>
        <w:t>D</w:t>
      </w:r>
      <w:r w:rsidR="00C862F9" w:rsidRPr="00BE1B93">
        <w:rPr>
          <w:rFonts w:asciiTheme="majorBidi" w:hAnsiTheme="majorBidi" w:cstheme="majorBidi"/>
          <w:sz w:val="24"/>
          <w:szCs w:val="24"/>
        </w:rPr>
        <w:t>)</w:t>
      </w:r>
      <w:r w:rsidRPr="00BE1B93">
        <w:rPr>
          <w:rFonts w:asciiTheme="majorBidi" w:hAnsiTheme="majorBidi" w:cstheme="majorBidi"/>
          <w:sz w:val="24"/>
          <w:szCs w:val="24"/>
        </w:rPr>
        <w:t>. CD247 expression levels were measured in gated CD3</w:t>
      </w:r>
      <w:r w:rsidRPr="00BE1B93">
        <w:rPr>
          <w:rFonts w:asciiTheme="majorBidi" w:hAnsiTheme="majorBidi" w:cstheme="majorBidi"/>
          <w:sz w:val="24"/>
          <w:szCs w:val="24"/>
          <w:vertAlign w:val="superscript"/>
        </w:rPr>
        <w:t>+</w:t>
      </w:r>
      <w:r w:rsidRPr="00BE1B93">
        <w:rPr>
          <w:rFonts w:asciiTheme="majorBidi" w:hAnsiTheme="majorBidi" w:cstheme="majorBidi"/>
          <w:sz w:val="24"/>
          <w:szCs w:val="24"/>
        </w:rPr>
        <w:t xml:space="preserve"> cells and are presented as the expression in the experimental group relative to normal mice (as 100%). Splenocytes from each group were double stained for CD247 and NCR1. CD247 expression levels were measured in NK (NCR1</w:t>
      </w:r>
      <w:r w:rsidRPr="00BE1B93">
        <w:rPr>
          <w:rFonts w:asciiTheme="majorBidi" w:hAnsiTheme="majorBidi" w:cstheme="majorBidi"/>
          <w:sz w:val="24"/>
          <w:szCs w:val="24"/>
          <w:vertAlign w:val="superscript"/>
        </w:rPr>
        <w:t>+</w:t>
      </w:r>
      <w:r w:rsidRPr="00BE1B93">
        <w:rPr>
          <w:rFonts w:asciiTheme="majorBidi" w:hAnsiTheme="majorBidi" w:cstheme="majorBidi"/>
          <w:sz w:val="24"/>
          <w:szCs w:val="24"/>
        </w:rPr>
        <w:t>) cells and are presented as the expression in the experimental group relative to normal mice (as 100%) (</w:t>
      </w:r>
      <w:r w:rsidRPr="00BE1B93">
        <w:rPr>
          <w:rFonts w:asciiTheme="majorBidi" w:hAnsiTheme="majorBidi" w:cstheme="majorBidi"/>
          <w:b/>
          <w:bCs/>
          <w:sz w:val="24"/>
          <w:szCs w:val="24"/>
        </w:rPr>
        <w:t>E</w:t>
      </w:r>
      <w:r w:rsidRPr="00BE1B93">
        <w:rPr>
          <w:rFonts w:asciiTheme="majorBidi" w:hAnsiTheme="majorBidi" w:cstheme="majorBidi"/>
          <w:sz w:val="24"/>
          <w:szCs w:val="24"/>
        </w:rPr>
        <w:t xml:space="preserve">). Graph (means of triplicates ± </w:t>
      </w:r>
      <w:proofErr w:type="spellStart"/>
      <w:r w:rsidRPr="00BE1B93">
        <w:rPr>
          <w:rFonts w:asciiTheme="majorBidi" w:hAnsiTheme="majorBidi" w:cstheme="majorBidi"/>
          <w:sz w:val="24"/>
          <w:szCs w:val="24"/>
        </w:rPr>
        <w:t>s.e.m</w:t>
      </w:r>
      <w:proofErr w:type="spellEnd"/>
      <w:r w:rsidRPr="00BE1B93">
        <w:rPr>
          <w:rFonts w:asciiTheme="majorBidi" w:hAnsiTheme="majorBidi" w:cstheme="majorBidi"/>
          <w:sz w:val="24"/>
          <w:szCs w:val="24"/>
        </w:rPr>
        <w:t xml:space="preserve">., </w:t>
      </w:r>
      <w:r w:rsidRPr="00BE1B93">
        <w:rPr>
          <w:rFonts w:asciiTheme="majorBidi" w:hAnsiTheme="majorBidi" w:cstheme="majorBidi"/>
          <w:i/>
          <w:iCs/>
          <w:sz w:val="24"/>
          <w:szCs w:val="24"/>
        </w:rPr>
        <w:t>n</w:t>
      </w:r>
      <w:r w:rsidRPr="00BE1B93">
        <w:rPr>
          <w:rFonts w:asciiTheme="majorBidi" w:hAnsiTheme="majorBidi" w:cstheme="majorBidi"/>
          <w:sz w:val="24"/>
          <w:szCs w:val="24"/>
        </w:rPr>
        <w:t xml:space="preserve">=4) is representative of a typical experiment out of three independent performed. *, </w:t>
      </w:r>
      <w:r w:rsidRPr="00BE1B93">
        <w:rPr>
          <w:rFonts w:asciiTheme="majorBidi" w:hAnsiTheme="majorBidi" w:cstheme="majorBidi"/>
          <w:i/>
          <w:iCs/>
          <w:sz w:val="24"/>
          <w:szCs w:val="24"/>
        </w:rPr>
        <w:t>P</w:t>
      </w:r>
      <w:r w:rsidRPr="00BE1B93">
        <w:rPr>
          <w:rFonts w:asciiTheme="majorBidi" w:hAnsiTheme="majorBidi" w:cstheme="majorBidi"/>
          <w:sz w:val="24"/>
          <w:szCs w:val="24"/>
        </w:rPr>
        <w:t xml:space="preserve">&lt;0.05; **, </w:t>
      </w:r>
      <w:r w:rsidRPr="00BE1B93">
        <w:rPr>
          <w:rFonts w:asciiTheme="majorBidi" w:hAnsiTheme="majorBidi" w:cstheme="majorBidi"/>
          <w:i/>
          <w:iCs/>
          <w:sz w:val="24"/>
          <w:szCs w:val="24"/>
        </w:rPr>
        <w:t>P</w:t>
      </w:r>
      <w:r w:rsidRPr="00BE1B93">
        <w:rPr>
          <w:rFonts w:asciiTheme="majorBidi" w:hAnsiTheme="majorBidi" w:cstheme="majorBidi"/>
          <w:sz w:val="24"/>
          <w:szCs w:val="24"/>
        </w:rPr>
        <w:t xml:space="preserve">&lt;0.01; ***, </w:t>
      </w:r>
      <w:r w:rsidRPr="00BE1B93">
        <w:rPr>
          <w:rFonts w:asciiTheme="majorBidi" w:hAnsiTheme="majorBidi" w:cstheme="majorBidi"/>
          <w:i/>
          <w:iCs/>
          <w:sz w:val="24"/>
          <w:szCs w:val="24"/>
        </w:rPr>
        <w:t>P</w:t>
      </w:r>
      <w:r w:rsidRPr="00BE1B93">
        <w:rPr>
          <w:rFonts w:asciiTheme="majorBidi" w:hAnsiTheme="majorBidi" w:cstheme="majorBidi"/>
          <w:sz w:val="24"/>
          <w:szCs w:val="24"/>
        </w:rPr>
        <w:t xml:space="preserve">&lt;0.001; non-significant. </w:t>
      </w:r>
    </w:p>
    <w:p w:rsidR="00BE1B93" w:rsidRDefault="00BE1B93" w:rsidP="00BE1B93">
      <w:pPr>
        <w:bidi w:val="0"/>
        <w:ind w:left="-993"/>
        <w:jc w:val="both"/>
        <w:rPr>
          <w:rFonts w:asciiTheme="majorBidi" w:hAnsiTheme="majorBidi" w:cstheme="majorBidi"/>
          <w:sz w:val="24"/>
          <w:szCs w:val="24"/>
        </w:rPr>
      </w:pPr>
    </w:p>
    <w:p w:rsidR="00BE1B93" w:rsidRPr="00BE1B93" w:rsidRDefault="00BE1B93" w:rsidP="00BE1B93">
      <w:pPr>
        <w:bidi w:val="0"/>
        <w:ind w:left="-993"/>
        <w:jc w:val="both"/>
        <w:rPr>
          <w:rFonts w:asciiTheme="majorBidi" w:hAnsiTheme="majorBidi" w:cstheme="majorBidi"/>
          <w:sz w:val="24"/>
          <w:szCs w:val="24"/>
          <w:rtl/>
        </w:rPr>
      </w:pPr>
      <w:bookmarkStart w:id="0" w:name="_GoBack"/>
      <w:bookmarkEnd w:id="0"/>
    </w:p>
    <w:p w:rsidR="00BE1B93" w:rsidRPr="00BE1B93" w:rsidRDefault="00BE1B93" w:rsidP="00BE1B93">
      <w:pPr>
        <w:bidi w:val="0"/>
        <w:ind w:left="-993"/>
        <w:jc w:val="both"/>
        <w:rPr>
          <w:rFonts w:asciiTheme="majorBidi" w:hAnsiTheme="majorBidi" w:cstheme="majorBidi"/>
          <w:sz w:val="24"/>
          <w:szCs w:val="24"/>
          <w:rtl/>
        </w:rPr>
      </w:pPr>
    </w:p>
    <w:p w:rsidR="009310FD" w:rsidRPr="00BE1B93" w:rsidRDefault="009310FD" w:rsidP="00BE1B93">
      <w:pPr>
        <w:bidi w:val="0"/>
        <w:ind w:left="-993"/>
        <w:jc w:val="both"/>
        <w:rPr>
          <w:rFonts w:asciiTheme="majorBidi" w:hAnsiTheme="majorBidi" w:cstheme="majorBidi"/>
          <w:sz w:val="24"/>
          <w:szCs w:val="24"/>
        </w:rPr>
      </w:pPr>
    </w:p>
    <w:sectPr w:rsidR="009310FD" w:rsidRPr="00BE1B93" w:rsidSect="00BE1B93">
      <w:pgSz w:w="11906" w:h="16838"/>
      <w:pgMar w:top="1440" w:right="1133"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93"/>
    <w:rsid w:val="001D137E"/>
    <w:rsid w:val="002068EC"/>
    <w:rsid w:val="003320BF"/>
    <w:rsid w:val="00366055"/>
    <w:rsid w:val="003D485B"/>
    <w:rsid w:val="00420FBC"/>
    <w:rsid w:val="00581EB7"/>
    <w:rsid w:val="008C69EF"/>
    <w:rsid w:val="009303FB"/>
    <w:rsid w:val="009310FD"/>
    <w:rsid w:val="00947A79"/>
    <w:rsid w:val="00964B3A"/>
    <w:rsid w:val="009C3674"/>
    <w:rsid w:val="00A01E55"/>
    <w:rsid w:val="00A543AE"/>
    <w:rsid w:val="00A86BFC"/>
    <w:rsid w:val="00A97C69"/>
    <w:rsid w:val="00BE1B93"/>
    <w:rsid w:val="00BE4AA0"/>
    <w:rsid w:val="00C53CA6"/>
    <w:rsid w:val="00C862F9"/>
    <w:rsid w:val="00CB29B2"/>
    <w:rsid w:val="00CD2E1B"/>
    <w:rsid w:val="00D34D5A"/>
    <w:rsid w:val="00F32591"/>
    <w:rsid w:val="00F51A1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F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F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497">
      <w:bodyDiv w:val="1"/>
      <w:marLeft w:val="0"/>
      <w:marRight w:val="0"/>
      <w:marTop w:val="0"/>
      <w:marBottom w:val="0"/>
      <w:divBdr>
        <w:top w:val="none" w:sz="0" w:space="0" w:color="auto"/>
        <w:left w:val="none" w:sz="0" w:space="0" w:color="auto"/>
        <w:bottom w:val="none" w:sz="0" w:space="0" w:color="auto"/>
        <w:right w:val="none" w:sz="0" w:space="0" w:color="auto"/>
      </w:divBdr>
    </w:div>
    <w:div w:id="35280591">
      <w:bodyDiv w:val="1"/>
      <w:marLeft w:val="0"/>
      <w:marRight w:val="0"/>
      <w:marTop w:val="0"/>
      <w:marBottom w:val="0"/>
      <w:divBdr>
        <w:top w:val="none" w:sz="0" w:space="0" w:color="auto"/>
        <w:left w:val="none" w:sz="0" w:space="0" w:color="auto"/>
        <w:bottom w:val="none" w:sz="0" w:space="0" w:color="auto"/>
        <w:right w:val="none" w:sz="0" w:space="0" w:color="auto"/>
      </w:divBdr>
    </w:div>
    <w:div w:id="181017498">
      <w:bodyDiv w:val="1"/>
      <w:marLeft w:val="0"/>
      <w:marRight w:val="0"/>
      <w:marTop w:val="0"/>
      <w:marBottom w:val="0"/>
      <w:divBdr>
        <w:top w:val="none" w:sz="0" w:space="0" w:color="auto"/>
        <w:left w:val="none" w:sz="0" w:space="0" w:color="auto"/>
        <w:bottom w:val="none" w:sz="0" w:space="0" w:color="auto"/>
        <w:right w:val="none" w:sz="0" w:space="0" w:color="auto"/>
      </w:divBdr>
    </w:div>
    <w:div w:id="799686408">
      <w:bodyDiv w:val="1"/>
      <w:marLeft w:val="0"/>
      <w:marRight w:val="0"/>
      <w:marTop w:val="0"/>
      <w:marBottom w:val="0"/>
      <w:divBdr>
        <w:top w:val="none" w:sz="0" w:space="0" w:color="auto"/>
        <w:left w:val="none" w:sz="0" w:space="0" w:color="auto"/>
        <w:bottom w:val="none" w:sz="0" w:space="0" w:color="auto"/>
        <w:right w:val="none" w:sz="0" w:space="0" w:color="auto"/>
      </w:divBdr>
    </w:div>
    <w:div w:id="1152137814">
      <w:bodyDiv w:val="1"/>
      <w:marLeft w:val="0"/>
      <w:marRight w:val="0"/>
      <w:marTop w:val="0"/>
      <w:marBottom w:val="0"/>
      <w:divBdr>
        <w:top w:val="none" w:sz="0" w:space="0" w:color="auto"/>
        <w:left w:val="none" w:sz="0" w:space="0" w:color="auto"/>
        <w:bottom w:val="none" w:sz="0" w:space="0" w:color="auto"/>
        <w:right w:val="none" w:sz="0" w:space="0" w:color="auto"/>
      </w:divBdr>
    </w:div>
    <w:div w:id="1280062479">
      <w:bodyDiv w:val="1"/>
      <w:marLeft w:val="0"/>
      <w:marRight w:val="0"/>
      <w:marTop w:val="0"/>
      <w:marBottom w:val="0"/>
      <w:divBdr>
        <w:top w:val="none" w:sz="0" w:space="0" w:color="auto"/>
        <w:left w:val="none" w:sz="0" w:space="0" w:color="auto"/>
        <w:bottom w:val="none" w:sz="0" w:space="0" w:color="auto"/>
        <w:right w:val="none" w:sz="0" w:space="0" w:color="auto"/>
      </w:divBdr>
    </w:div>
    <w:div w:id="17440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6DC7-6975-40BE-ABCF-819CB22F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5061</Characters>
  <Application>Microsoft Office Word</Application>
  <DocSecurity>0</DocSecurity>
  <Lines>42</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Amir Khalili</cp:lastModifiedBy>
  <cp:revision>3</cp:revision>
  <dcterms:created xsi:type="dcterms:W3CDTF">2014-08-20T07:52:00Z</dcterms:created>
  <dcterms:modified xsi:type="dcterms:W3CDTF">2014-08-29T18:35:00Z</dcterms:modified>
</cp:coreProperties>
</file>