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3C" w:rsidRDefault="00916461" w:rsidP="00AB393C">
      <w:pPr>
        <w:rPr>
          <w:rFonts w:cs="Times New Roman"/>
          <w:b/>
          <w:sz w:val="24"/>
          <w:szCs w:val="24"/>
        </w:rPr>
      </w:pPr>
      <w:r w:rsidRPr="00916461">
        <w:rPr>
          <w:rFonts w:cs="Times New Roman"/>
          <w:b/>
          <w:sz w:val="24"/>
          <w:szCs w:val="24"/>
        </w:rPr>
        <w:t xml:space="preserve">SUPPLEMENTARY </w:t>
      </w:r>
      <w:r w:rsidR="00066DC7">
        <w:rPr>
          <w:rFonts w:cs="Times New Roman"/>
          <w:b/>
          <w:sz w:val="24"/>
          <w:szCs w:val="24"/>
        </w:rPr>
        <w:t>INFORMATION</w:t>
      </w:r>
    </w:p>
    <w:p w:rsidR="002810BE" w:rsidRDefault="002810BE" w:rsidP="00AB393C">
      <w:pPr>
        <w:rPr>
          <w:rFonts w:cs="Times New Roman"/>
          <w:b/>
          <w:sz w:val="24"/>
          <w:szCs w:val="24"/>
        </w:rPr>
      </w:pPr>
    </w:p>
    <w:p w:rsidR="00214A26" w:rsidRDefault="002810BE" w:rsidP="00214A26">
      <w:pPr>
        <w:rPr>
          <w:rFonts w:cs="Times New Roman"/>
          <w:b/>
          <w:sz w:val="24"/>
          <w:szCs w:val="24"/>
        </w:rPr>
      </w:pPr>
      <w:r>
        <w:rPr>
          <w:rFonts w:cs="Times New Roman"/>
          <w:b/>
          <w:sz w:val="24"/>
          <w:szCs w:val="24"/>
        </w:rPr>
        <w:t xml:space="preserve">Supplementary Figure </w:t>
      </w:r>
      <w:r w:rsidR="00214A26">
        <w:rPr>
          <w:rFonts w:cs="Times New Roman"/>
          <w:b/>
          <w:sz w:val="24"/>
          <w:szCs w:val="24"/>
        </w:rPr>
        <w:t>Legends</w:t>
      </w:r>
    </w:p>
    <w:p w:rsidR="00066DC7" w:rsidRPr="00214A26" w:rsidRDefault="002810BE" w:rsidP="00214A26">
      <w:pPr>
        <w:rPr>
          <w:rFonts w:cs="Times New Roman"/>
          <w:b/>
          <w:sz w:val="24"/>
          <w:szCs w:val="24"/>
        </w:rPr>
      </w:pPr>
      <w:r>
        <w:rPr>
          <w:rFonts w:eastAsia="Times New Roman" w:cs="Arial"/>
          <w:b/>
          <w:color w:val="222222"/>
          <w:sz w:val="24"/>
          <w:szCs w:val="24"/>
        </w:rPr>
        <w:tab/>
      </w:r>
    </w:p>
    <w:p w:rsidR="00833FF2" w:rsidRDefault="00290B76" w:rsidP="00833FF2">
      <w:pPr>
        <w:spacing w:line="480" w:lineRule="auto"/>
        <w:jc w:val="both"/>
        <w:rPr>
          <w:rFonts w:eastAsia="Times New Roman" w:cs="Arial"/>
          <w:color w:val="222222"/>
          <w:sz w:val="24"/>
          <w:szCs w:val="24"/>
        </w:rPr>
      </w:pPr>
      <w:proofErr w:type="gramStart"/>
      <w:r>
        <w:rPr>
          <w:rFonts w:eastAsia="Times New Roman" w:cs="Arial"/>
          <w:b/>
          <w:color w:val="222222"/>
          <w:sz w:val="24"/>
          <w:szCs w:val="24"/>
        </w:rPr>
        <w:t>Supplementary Figure S</w:t>
      </w:r>
      <w:r w:rsidR="006C4D10">
        <w:rPr>
          <w:rFonts w:eastAsia="Times New Roman" w:cs="Arial"/>
          <w:b/>
          <w:color w:val="222222"/>
          <w:sz w:val="24"/>
          <w:szCs w:val="24"/>
        </w:rPr>
        <w:t>1.</w:t>
      </w:r>
      <w:proofErr w:type="gramEnd"/>
      <w:r w:rsidR="006C4D10">
        <w:rPr>
          <w:rFonts w:eastAsia="Times New Roman" w:cs="Arial"/>
          <w:b/>
          <w:color w:val="222222"/>
          <w:sz w:val="24"/>
          <w:szCs w:val="24"/>
        </w:rPr>
        <w:t xml:space="preserve">  </w:t>
      </w:r>
      <w:r w:rsidR="002810BE">
        <w:rPr>
          <w:rFonts w:eastAsia="Times New Roman" w:cs="Arial"/>
          <w:b/>
          <w:color w:val="222222"/>
          <w:sz w:val="24"/>
          <w:szCs w:val="24"/>
        </w:rPr>
        <w:t xml:space="preserve">Activation levels of </w:t>
      </w:r>
      <w:proofErr w:type="spellStart"/>
      <w:r w:rsidR="002810BE">
        <w:rPr>
          <w:rFonts w:eastAsia="Times New Roman" w:cs="Arial"/>
          <w:b/>
          <w:color w:val="222222"/>
          <w:sz w:val="24"/>
          <w:szCs w:val="24"/>
        </w:rPr>
        <w:t>Src</w:t>
      </w:r>
      <w:proofErr w:type="spellEnd"/>
      <w:r w:rsidR="002810BE">
        <w:rPr>
          <w:rFonts w:eastAsia="Times New Roman" w:cs="Arial"/>
          <w:b/>
          <w:color w:val="222222"/>
          <w:sz w:val="24"/>
          <w:szCs w:val="24"/>
        </w:rPr>
        <w:t xml:space="preserve"> (p-</w:t>
      </w:r>
      <w:proofErr w:type="spellStart"/>
      <w:r w:rsidR="002810BE">
        <w:rPr>
          <w:rFonts w:eastAsia="Times New Roman" w:cs="Arial"/>
          <w:b/>
          <w:color w:val="222222"/>
          <w:sz w:val="24"/>
          <w:szCs w:val="24"/>
        </w:rPr>
        <w:t>Src</w:t>
      </w:r>
      <w:proofErr w:type="spellEnd"/>
      <w:r w:rsidR="002810BE">
        <w:rPr>
          <w:rFonts w:eastAsia="Times New Roman" w:cs="Arial"/>
          <w:b/>
          <w:color w:val="222222"/>
          <w:sz w:val="24"/>
          <w:szCs w:val="24"/>
        </w:rPr>
        <w:t xml:space="preserve">) are not correlated with </w:t>
      </w:r>
      <w:proofErr w:type="spellStart"/>
      <w:r w:rsidR="002810BE">
        <w:rPr>
          <w:rFonts w:eastAsia="Times New Roman" w:cs="Arial"/>
          <w:b/>
          <w:color w:val="222222"/>
          <w:sz w:val="24"/>
          <w:szCs w:val="24"/>
        </w:rPr>
        <w:t>mTOR</w:t>
      </w:r>
      <w:proofErr w:type="spellEnd"/>
      <w:r w:rsidR="002810BE">
        <w:rPr>
          <w:rFonts w:eastAsia="Times New Roman" w:cs="Arial"/>
          <w:b/>
          <w:color w:val="222222"/>
          <w:sz w:val="24"/>
          <w:szCs w:val="24"/>
        </w:rPr>
        <w:t xml:space="preserve"> pathway activation (p-S6) across multiple breast cancer subtypes.  </w:t>
      </w:r>
      <w:r w:rsidR="00A152E5" w:rsidRPr="006C4D10">
        <w:rPr>
          <w:rFonts w:eastAsia="Times New Roman" w:cs="Arial"/>
          <w:color w:val="222222"/>
          <w:sz w:val="24"/>
          <w:szCs w:val="24"/>
        </w:rPr>
        <w:t xml:space="preserve">Scatter plot </w:t>
      </w:r>
      <w:r w:rsidR="006C4D10">
        <w:rPr>
          <w:rFonts w:eastAsia="Times New Roman" w:cs="Arial"/>
          <w:color w:val="222222"/>
          <w:sz w:val="24"/>
          <w:szCs w:val="24"/>
        </w:rPr>
        <w:t xml:space="preserve">depicting levels of </w:t>
      </w:r>
      <w:proofErr w:type="spellStart"/>
      <w:r w:rsidR="006C4D10">
        <w:rPr>
          <w:rFonts w:eastAsia="Times New Roman" w:cs="Arial"/>
          <w:color w:val="222222"/>
          <w:sz w:val="24"/>
          <w:szCs w:val="24"/>
        </w:rPr>
        <w:t>Src</w:t>
      </w:r>
      <w:proofErr w:type="spellEnd"/>
      <w:r w:rsidR="006C4D10">
        <w:rPr>
          <w:rFonts w:eastAsia="Times New Roman" w:cs="Arial"/>
          <w:color w:val="222222"/>
          <w:sz w:val="24"/>
          <w:szCs w:val="24"/>
        </w:rPr>
        <w:t xml:space="preserve"> activation (y-axis) and </w:t>
      </w:r>
      <w:proofErr w:type="spellStart"/>
      <w:r w:rsidR="006C4D10">
        <w:rPr>
          <w:rFonts w:eastAsia="Times New Roman" w:cs="Arial"/>
          <w:color w:val="222222"/>
          <w:sz w:val="24"/>
          <w:szCs w:val="24"/>
        </w:rPr>
        <w:t>mTOR</w:t>
      </w:r>
      <w:proofErr w:type="spellEnd"/>
      <w:r w:rsidR="006C4D10">
        <w:rPr>
          <w:rFonts w:eastAsia="Times New Roman" w:cs="Arial"/>
          <w:color w:val="222222"/>
          <w:sz w:val="24"/>
          <w:szCs w:val="24"/>
        </w:rPr>
        <w:t xml:space="preserve"> pathway activation (x-axis) </w:t>
      </w:r>
      <w:r>
        <w:rPr>
          <w:rFonts w:eastAsia="Times New Roman" w:cs="Arial"/>
          <w:color w:val="222222"/>
          <w:sz w:val="24"/>
          <w:szCs w:val="24"/>
        </w:rPr>
        <w:t>from</w:t>
      </w:r>
      <w:r w:rsidR="006C4D10">
        <w:rPr>
          <w:rFonts w:eastAsia="Times New Roman" w:cs="Arial"/>
          <w:color w:val="222222"/>
          <w:sz w:val="24"/>
          <w:szCs w:val="24"/>
        </w:rPr>
        <w:t xml:space="preserve"> hum</w:t>
      </w:r>
      <w:r>
        <w:rPr>
          <w:rFonts w:eastAsia="Times New Roman" w:cs="Arial"/>
          <w:color w:val="222222"/>
          <w:sz w:val="24"/>
          <w:szCs w:val="24"/>
        </w:rPr>
        <w:t>an breast tumors analyzed in Fig.</w:t>
      </w:r>
      <w:r w:rsidR="001A46E1">
        <w:rPr>
          <w:rFonts w:eastAsia="Times New Roman" w:cs="Arial"/>
          <w:color w:val="222222"/>
          <w:sz w:val="24"/>
          <w:szCs w:val="24"/>
        </w:rPr>
        <w:t xml:space="preserve"> 1A.   </w:t>
      </w:r>
      <w:r w:rsidR="00A152E5" w:rsidRPr="006C4D10">
        <w:rPr>
          <w:rFonts w:eastAsia="Times New Roman" w:cs="Arial"/>
          <w:color w:val="222222"/>
          <w:sz w:val="24"/>
          <w:szCs w:val="24"/>
        </w:rPr>
        <w:t xml:space="preserve">Each point on the graph represents an individual </w:t>
      </w:r>
      <w:r w:rsidR="006C4D10">
        <w:rPr>
          <w:rFonts w:eastAsia="Times New Roman" w:cs="Arial"/>
          <w:color w:val="222222"/>
          <w:sz w:val="24"/>
          <w:szCs w:val="24"/>
        </w:rPr>
        <w:t xml:space="preserve">tumor.  </w:t>
      </w:r>
      <w:r w:rsidR="002E4653">
        <w:rPr>
          <w:rFonts w:eastAsia="Times New Roman" w:cs="Arial"/>
          <w:color w:val="222222"/>
          <w:sz w:val="24"/>
          <w:szCs w:val="24"/>
        </w:rPr>
        <w:t>The c</w:t>
      </w:r>
      <w:r w:rsidR="00A152E5" w:rsidRPr="006C4D10">
        <w:rPr>
          <w:rFonts w:eastAsia="Times New Roman" w:cs="Arial"/>
          <w:color w:val="222222"/>
          <w:sz w:val="24"/>
          <w:szCs w:val="24"/>
        </w:rPr>
        <w:t>orrelation coefficient</w:t>
      </w:r>
      <w:r w:rsidR="001A46E1">
        <w:rPr>
          <w:rFonts w:eastAsia="Times New Roman" w:cs="Arial"/>
          <w:color w:val="222222"/>
          <w:sz w:val="24"/>
          <w:szCs w:val="24"/>
        </w:rPr>
        <w:t xml:space="preserve"> from linear regression analysis</w:t>
      </w:r>
      <w:r w:rsidR="00A152E5" w:rsidRPr="006C4D10">
        <w:rPr>
          <w:rFonts w:eastAsia="Times New Roman" w:cs="Arial"/>
          <w:color w:val="222222"/>
          <w:sz w:val="24"/>
          <w:szCs w:val="24"/>
        </w:rPr>
        <w:t xml:space="preserve"> for all</w:t>
      </w:r>
      <w:r w:rsidR="001A46E1">
        <w:rPr>
          <w:rFonts w:eastAsia="Times New Roman" w:cs="Arial"/>
          <w:color w:val="222222"/>
          <w:sz w:val="24"/>
          <w:szCs w:val="24"/>
        </w:rPr>
        <w:t xml:space="preserve"> 60 tumors examined </w:t>
      </w:r>
      <w:r w:rsidR="002E4653">
        <w:rPr>
          <w:rFonts w:eastAsia="Times New Roman" w:cs="Arial"/>
          <w:color w:val="222222"/>
          <w:sz w:val="24"/>
          <w:szCs w:val="24"/>
        </w:rPr>
        <w:t>is r=0.201</w:t>
      </w:r>
      <w:r w:rsidR="001A46E1">
        <w:rPr>
          <w:rFonts w:eastAsia="Times New Roman" w:cs="Arial"/>
          <w:color w:val="222222"/>
          <w:sz w:val="24"/>
          <w:szCs w:val="24"/>
        </w:rPr>
        <w:t xml:space="preserve">.  </w:t>
      </w:r>
      <w:proofErr w:type="gramStart"/>
      <w:r w:rsidR="000111EE">
        <w:rPr>
          <w:rFonts w:eastAsia="Times New Roman" w:cs="Arial"/>
          <w:color w:val="222222"/>
          <w:sz w:val="24"/>
          <w:szCs w:val="24"/>
        </w:rPr>
        <w:t>Estrogen receptor-positive</w:t>
      </w:r>
      <w:r w:rsidR="00214A26">
        <w:rPr>
          <w:rFonts w:eastAsia="Times New Roman" w:cs="Arial"/>
          <w:color w:val="222222"/>
          <w:sz w:val="24"/>
          <w:szCs w:val="24"/>
        </w:rPr>
        <w:t>/negative</w:t>
      </w:r>
      <w:r w:rsidR="000111EE">
        <w:rPr>
          <w:rFonts w:eastAsia="Times New Roman" w:cs="Arial"/>
          <w:color w:val="222222"/>
          <w:sz w:val="24"/>
          <w:szCs w:val="24"/>
        </w:rPr>
        <w:t xml:space="preserve"> (ER+</w:t>
      </w:r>
      <w:r w:rsidR="00214A26">
        <w:rPr>
          <w:rFonts w:eastAsia="Times New Roman" w:cs="Arial"/>
          <w:color w:val="222222"/>
          <w:sz w:val="24"/>
          <w:szCs w:val="24"/>
        </w:rPr>
        <w:t>/-</w:t>
      </w:r>
      <w:r w:rsidR="000111EE">
        <w:rPr>
          <w:rFonts w:eastAsia="Times New Roman" w:cs="Arial"/>
          <w:color w:val="222222"/>
          <w:sz w:val="24"/>
          <w:szCs w:val="24"/>
        </w:rPr>
        <w:t>), progesterone receptor-positive</w:t>
      </w:r>
      <w:r w:rsidR="00214A26">
        <w:rPr>
          <w:rFonts w:eastAsia="Times New Roman" w:cs="Arial"/>
          <w:color w:val="222222"/>
          <w:sz w:val="24"/>
          <w:szCs w:val="24"/>
        </w:rPr>
        <w:t>/negative</w:t>
      </w:r>
      <w:r w:rsidR="000111EE">
        <w:rPr>
          <w:rFonts w:eastAsia="Times New Roman" w:cs="Arial"/>
          <w:color w:val="222222"/>
          <w:sz w:val="24"/>
          <w:szCs w:val="24"/>
        </w:rPr>
        <w:t xml:space="preserve"> (PR+</w:t>
      </w:r>
      <w:r w:rsidR="00214A26">
        <w:rPr>
          <w:rFonts w:eastAsia="Times New Roman" w:cs="Arial"/>
          <w:color w:val="222222"/>
          <w:sz w:val="24"/>
          <w:szCs w:val="24"/>
        </w:rPr>
        <w:t>/-</w:t>
      </w:r>
      <w:r w:rsidR="000111EE">
        <w:rPr>
          <w:rFonts w:eastAsia="Times New Roman" w:cs="Arial"/>
          <w:color w:val="222222"/>
          <w:sz w:val="24"/>
          <w:szCs w:val="24"/>
        </w:rPr>
        <w:t>), human epidermal growth factor receptor 2-positive</w:t>
      </w:r>
      <w:r w:rsidR="00214A26">
        <w:rPr>
          <w:rFonts w:eastAsia="Times New Roman" w:cs="Arial"/>
          <w:color w:val="222222"/>
          <w:sz w:val="24"/>
          <w:szCs w:val="24"/>
        </w:rPr>
        <w:t>/negative</w:t>
      </w:r>
      <w:r w:rsidR="000111EE">
        <w:rPr>
          <w:rFonts w:eastAsia="Times New Roman" w:cs="Arial"/>
          <w:color w:val="222222"/>
          <w:sz w:val="24"/>
          <w:szCs w:val="24"/>
        </w:rPr>
        <w:t xml:space="preserve"> (HER2+</w:t>
      </w:r>
      <w:r w:rsidR="00214A26">
        <w:rPr>
          <w:rFonts w:eastAsia="Times New Roman" w:cs="Arial"/>
          <w:color w:val="222222"/>
          <w:sz w:val="24"/>
          <w:szCs w:val="24"/>
        </w:rPr>
        <w:t>/-</w:t>
      </w:r>
      <w:r w:rsidR="000111EE">
        <w:rPr>
          <w:rFonts w:eastAsia="Times New Roman" w:cs="Arial"/>
          <w:color w:val="222222"/>
          <w:sz w:val="24"/>
          <w:szCs w:val="24"/>
        </w:rPr>
        <w:t>).</w:t>
      </w:r>
      <w:proofErr w:type="gramEnd"/>
    </w:p>
    <w:p w:rsidR="002810BE" w:rsidRPr="00214A26" w:rsidRDefault="002810BE" w:rsidP="00833FF2">
      <w:pPr>
        <w:spacing w:line="480" w:lineRule="auto"/>
        <w:jc w:val="both"/>
        <w:rPr>
          <w:rFonts w:eastAsia="Times New Roman" w:cs="Arial"/>
          <w:color w:val="222222"/>
          <w:sz w:val="24"/>
          <w:szCs w:val="24"/>
        </w:rPr>
      </w:pPr>
      <w:proofErr w:type="gramStart"/>
      <w:r>
        <w:rPr>
          <w:rFonts w:eastAsia="Times New Roman" w:cs="Arial"/>
          <w:b/>
          <w:color w:val="222222"/>
          <w:sz w:val="24"/>
          <w:szCs w:val="24"/>
        </w:rPr>
        <w:t>Supplementary Figure S2</w:t>
      </w:r>
      <w:r w:rsidR="00073590">
        <w:rPr>
          <w:rFonts w:eastAsia="Times New Roman" w:cs="Arial"/>
          <w:b/>
          <w:color w:val="222222"/>
          <w:sz w:val="24"/>
          <w:szCs w:val="24"/>
        </w:rPr>
        <w:t>.</w:t>
      </w:r>
      <w:proofErr w:type="gramEnd"/>
      <w:r w:rsidR="00073590">
        <w:rPr>
          <w:rFonts w:eastAsia="Times New Roman" w:cs="Arial"/>
          <w:b/>
          <w:color w:val="222222"/>
          <w:sz w:val="24"/>
          <w:szCs w:val="24"/>
        </w:rPr>
        <w:t xml:space="preserve">  </w:t>
      </w:r>
      <w:proofErr w:type="spellStart"/>
      <w:r w:rsidR="00073590">
        <w:rPr>
          <w:rFonts w:eastAsia="Times New Roman" w:cs="Arial"/>
          <w:b/>
          <w:color w:val="222222"/>
          <w:sz w:val="24"/>
          <w:szCs w:val="24"/>
        </w:rPr>
        <w:t>Rapamycin</w:t>
      </w:r>
      <w:proofErr w:type="spellEnd"/>
      <w:r w:rsidR="00073590">
        <w:rPr>
          <w:rFonts w:eastAsia="Times New Roman" w:cs="Arial"/>
          <w:b/>
          <w:color w:val="222222"/>
          <w:sz w:val="24"/>
          <w:szCs w:val="24"/>
        </w:rPr>
        <w:t xml:space="preserve"> </w:t>
      </w:r>
      <w:r w:rsidR="00214A26">
        <w:rPr>
          <w:rFonts w:eastAsia="Times New Roman" w:cs="Arial"/>
          <w:b/>
          <w:color w:val="222222"/>
          <w:sz w:val="24"/>
          <w:szCs w:val="24"/>
        </w:rPr>
        <w:t>induction of p-AKT</w:t>
      </w:r>
      <w:r w:rsidR="00E03E51">
        <w:rPr>
          <w:rFonts w:eastAsia="Times New Roman" w:cs="Arial"/>
          <w:b/>
          <w:color w:val="222222"/>
          <w:sz w:val="24"/>
          <w:szCs w:val="24"/>
        </w:rPr>
        <w:t xml:space="preserve"> occurs within 1 hour</w:t>
      </w:r>
      <w:r w:rsidR="00214A26">
        <w:rPr>
          <w:rFonts w:eastAsia="Times New Roman" w:cs="Arial"/>
          <w:b/>
          <w:color w:val="222222"/>
          <w:sz w:val="24"/>
          <w:szCs w:val="24"/>
        </w:rPr>
        <w:t xml:space="preserve"> </w:t>
      </w:r>
      <w:r w:rsidR="00073590">
        <w:rPr>
          <w:rFonts w:eastAsia="Times New Roman" w:cs="Arial"/>
          <w:b/>
          <w:color w:val="222222"/>
          <w:sz w:val="24"/>
          <w:szCs w:val="24"/>
        </w:rPr>
        <w:t>and</w:t>
      </w:r>
      <w:r w:rsidR="00354CC8">
        <w:rPr>
          <w:rFonts w:eastAsia="Times New Roman" w:cs="Arial"/>
          <w:b/>
          <w:color w:val="222222"/>
          <w:sz w:val="24"/>
          <w:szCs w:val="24"/>
        </w:rPr>
        <w:t xml:space="preserve"> is</w:t>
      </w:r>
      <w:r w:rsidR="00214A26">
        <w:rPr>
          <w:rFonts w:eastAsia="Times New Roman" w:cs="Arial"/>
          <w:b/>
          <w:color w:val="222222"/>
          <w:sz w:val="24"/>
          <w:szCs w:val="24"/>
        </w:rPr>
        <w:t xml:space="preserve"> not due to increased levels of p-</w:t>
      </w:r>
      <w:proofErr w:type="spellStart"/>
      <w:r w:rsidR="00214A26">
        <w:rPr>
          <w:rFonts w:eastAsia="Times New Roman" w:cs="Arial"/>
          <w:b/>
          <w:color w:val="222222"/>
          <w:sz w:val="24"/>
          <w:szCs w:val="24"/>
        </w:rPr>
        <w:t>Src</w:t>
      </w:r>
      <w:proofErr w:type="spellEnd"/>
      <w:r w:rsidR="00214A26">
        <w:rPr>
          <w:rFonts w:eastAsia="Times New Roman" w:cs="Arial"/>
          <w:b/>
          <w:color w:val="222222"/>
          <w:sz w:val="24"/>
          <w:szCs w:val="24"/>
        </w:rPr>
        <w:t xml:space="preserve">.  </w:t>
      </w:r>
      <w:r w:rsidR="00E03E51">
        <w:rPr>
          <w:rFonts w:eastAsia="Times New Roman" w:cs="Arial"/>
          <w:b/>
          <w:color w:val="222222"/>
          <w:sz w:val="24"/>
          <w:szCs w:val="24"/>
        </w:rPr>
        <w:t xml:space="preserve">A, </w:t>
      </w:r>
      <w:r w:rsidR="00214A26">
        <w:rPr>
          <w:rFonts w:eastAsia="Times New Roman" w:cs="Arial"/>
          <w:color w:val="222222"/>
          <w:sz w:val="24"/>
          <w:szCs w:val="24"/>
        </w:rPr>
        <w:t xml:space="preserve">Human breast cancer cell lines were treated with increasing </w:t>
      </w:r>
      <w:bookmarkStart w:id="0" w:name="_GoBack"/>
      <w:bookmarkEnd w:id="0"/>
      <w:r w:rsidR="00214A26">
        <w:rPr>
          <w:rFonts w:eastAsia="Times New Roman" w:cs="Arial"/>
          <w:color w:val="222222"/>
          <w:sz w:val="24"/>
          <w:szCs w:val="24"/>
        </w:rPr>
        <w:t xml:space="preserve">concentrations (1-100nM) of </w:t>
      </w:r>
      <w:proofErr w:type="spellStart"/>
      <w:r w:rsidR="00214A26">
        <w:rPr>
          <w:rFonts w:eastAsia="Times New Roman" w:cs="Arial"/>
          <w:color w:val="222222"/>
          <w:sz w:val="24"/>
          <w:szCs w:val="24"/>
        </w:rPr>
        <w:t>r</w:t>
      </w:r>
      <w:r w:rsidR="002E4653">
        <w:rPr>
          <w:rFonts w:eastAsia="Times New Roman" w:cs="Arial"/>
          <w:color w:val="222222"/>
          <w:sz w:val="24"/>
          <w:szCs w:val="24"/>
        </w:rPr>
        <w:t>apamycin</w:t>
      </w:r>
      <w:proofErr w:type="spellEnd"/>
      <w:r w:rsidR="002E4653">
        <w:rPr>
          <w:rFonts w:eastAsia="Times New Roman" w:cs="Arial"/>
          <w:color w:val="222222"/>
          <w:sz w:val="24"/>
          <w:szCs w:val="24"/>
        </w:rPr>
        <w:t xml:space="preserve"> for 3 to 24 hours and western b</w:t>
      </w:r>
      <w:r w:rsidR="00214A26">
        <w:rPr>
          <w:rFonts w:eastAsia="Times New Roman" w:cs="Arial"/>
          <w:color w:val="222222"/>
          <w:sz w:val="24"/>
          <w:szCs w:val="24"/>
        </w:rPr>
        <w:t xml:space="preserve">lot analysis was </w:t>
      </w:r>
      <w:proofErr w:type="gramStart"/>
      <w:r w:rsidR="00214A26">
        <w:rPr>
          <w:rFonts w:eastAsia="Times New Roman" w:cs="Arial"/>
          <w:color w:val="222222"/>
          <w:sz w:val="24"/>
          <w:szCs w:val="24"/>
        </w:rPr>
        <w:t>performed</w:t>
      </w:r>
      <w:proofErr w:type="gramEnd"/>
      <w:r w:rsidR="00214A26">
        <w:rPr>
          <w:rFonts w:eastAsia="Times New Roman" w:cs="Arial"/>
          <w:color w:val="222222"/>
          <w:sz w:val="24"/>
          <w:szCs w:val="24"/>
        </w:rPr>
        <w:t xml:space="preserve"> on cell lysates</w:t>
      </w:r>
      <w:r w:rsidR="00E60643">
        <w:rPr>
          <w:rFonts w:eastAsia="Times New Roman" w:cs="Arial"/>
          <w:color w:val="222222"/>
          <w:sz w:val="24"/>
          <w:szCs w:val="24"/>
        </w:rPr>
        <w:t xml:space="preserve">.  </w:t>
      </w:r>
      <w:r w:rsidR="00E03E51">
        <w:rPr>
          <w:rFonts w:eastAsia="Times New Roman" w:cs="Arial"/>
          <w:b/>
          <w:color w:val="222222"/>
          <w:sz w:val="24"/>
          <w:szCs w:val="24"/>
        </w:rPr>
        <w:t xml:space="preserve">B, </w:t>
      </w:r>
      <w:r w:rsidR="00E03E51" w:rsidRPr="00E60643">
        <w:rPr>
          <w:rFonts w:eastAsia="Times New Roman" w:cs="Arial"/>
          <w:color w:val="222222"/>
          <w:sz w:val="24"/>
          <w:szCs w:val="24"/>
        </w:rPr>
        <w:t xml:space="preserve">Time course of </w:t>
      </w:r>
      <w:proofErr w:type="spellStart"/>
      <w:r w:rsidR="00E03E51" w:rsidRPr="00E60643">
        <w:rPr>
          <w:rFonts w:eastAsia="Times New Roman" w:cs="Arial"/>
          <w:color w:val="222222"/>
          <w:sz w:val="24"/>
          <w:szCs w:val="24"/>
        </w:rPr>
        <w:t>rapamycin</w:t>
      </w:r>
      <w:proofErr w:type="spellEnd"/>
      <w:r w:rsidR="00E03E51" w:rsidRPr="00E60643">
        <w:rPr>
          <w:rFonts w:eastAsia="Times New Roman" w:cs="Arial"/>
          <w:color w:val="222222"/>
          <w:sz w:val="24"/>
          <w:szCs w:val="24"/>
        </w:rPr>
        <w:t xml:space="preserve"> treatment demonstrates feedback activation of AKT occurs as early as 30 minutes and is maintained at 24 hours.</w:t>
      </w:r>
      <w:r w:rsidR="00E60643">
        <w:rPr>
          <w:rFonts w:eastAsia="Times New Roman" w:cs="Arial"/>
          <w:color w:val="222222"/>
          <w:sz w:val="24"/>
          <w:szCs w:val="24"/>
        </w:rPr>
        <w:t xml:space="preserve">  </w:t>
      </w:r>
      <w:r w:rsidR="00E03E51">
        <w:rPr>
          <w:rFonts w:eastAsia="Times New Roman" w:cs="Arial"/>
          <w:color w:val="222222"/>
          <w:sz w:val="24"/>
          <w:szCs w:val="24"/>
        </w:rPr>
        <w:t xml:space="preserve">While </w:t>
      </w:r>
      <w:proofErr w:type="spellStart"/>
      <w:r w:rsidR="00E03E51">
        <w:rPr>
          <w:rFonts w:eastAsia="Times New Roman" w:cs="Arial"/>
          <w:color w:val="222222"/>
          <w:sz w:val="24"/>
          <w:szCs w:val="24"/>
        </w:rPr>
        <w:t>rapamycin</w:t>
      </w:r>
      <w:proofErr w:type="spellEnd"/>
      <w:r w:rsidR="00E03E51">
        <w:rPr>
          <w:rFonts w:eastAsia="Times New Roman" w:cs="Arial"/>
          <w:color w:val="222222"/>
          <w:sz w:val="24"/>
          <w:szCs w:val="24"/>
        </w:rPr>
        <w:t xml:space="preserve"> induced phosphorylation of AKT at all </w:t>
      </w:r>
      <w:r w:rsidR="00E60643">
        <w:rPr>
          <w:rFonts w:eastAsia="Times New Roman" w:cs="Arial"/>
          <w:color w:val="222222"/>
          <w:sz w:val="24"/>
          <w:szCs w:val="24"/>
        </w:rPr>
        <w:t>doses and</w:t>
      </w:r>
      <w:r w:rsidR="00E03E51">
        <w:rPr>
          <w:rFonts w:eastAsia="Times New Roman" w:cs="Arial"/>
          <w:color w:val="222222"/>
          <w:sz w:val="24"/>
          <w:szCs w:val="24"/>
        </w:rPr>
        <w:t xml:space="preserve"> times, there was no concomitant increase in phosphorylation of </w:t>
      </w:r>
      <w:proofErr w:type="spellStart"/>
      <w:r w:rsidR="00E03E51">
        <w:rPr>
          <w:rFonts w:eastAsia="Times New Roman" w:cs="Arial"/>
          <w:color w:val="222222"/>
          <w:sz w:val="24"/>
          <w:szCs w:val="24"/>
        </w:rPr>
        <w:t>Src</w:t>
      </w:r>
      <w:proofErr w:type="spellEnd"/>
      <w:r w:rsidR="00E03E51">
        <w:rPr>
          <w:rFonts w:eastAsia="Times New Roman" w:cs="Arial"/>
          <w:color w:val="222222"/>
          <w:sz w:val="24"/>
          <w:szCs w:val="24"/>
        </w:rPr>
        <w:t>.</w:t>
      </w:r>
    </w:p>
    <w:p w:rsidR="00E03E51" w:rsidRDefault="00E03E51" w:rsidP="00833FF2">
      <w:pPr>
        <w:spacing w:line="480" w:lineRule="auto"/>
        <w:jc w:val="both"/>
        <w:rPr>
          <w:rFonts w:cs="Arial"/>
          <w:color w:val="222222"/>
        </w:rPr>
      </w:pPr>
      <w:proofErr w:type="gramStart"/>
      <w:r w:rsidRPr="003C72AF">
        <w:rPr>
          <w:rFonts w:eastAsia="Times New Roman" w:cs="Arial"/>
          <w:b/>
          <w:color w:val="222222"/>
          <w:sz w:val="24"/>
          <w:szCs w:val="24"/>
        </w:rPr>
        <w:t xml:space="preserve">Supplementary Figure </w:t>
      </w:r>
      <w:r>
        <w:rPr>
          <w:rFonts w:eastAsia="Times New Roman" w:cs="Arial"/>
          <w:b/>
          <w:color w:val="222222"/>
          <w:sz w:val="24"/>
          <w:szCs w:val="24"/>
        </w:rPr>
        <w:t>S3.</w:t>
      </w:r>
      <w:proofErr w:type="gramEnd"/>
      <w:r w:rsidRPr="003C72AF">
        <w:rPr>
          <w:rFonts w:eastAsia="Times New Roman" w:cs="Arial"/>
          <w:color w:val="222222"/>
          <w:sz w:val="24"/>
          <w:szCs w:val="24"/>
        </w:rPr>
        <w:t xml:space="preserve">  </w:t>
      </w:r>
      <w:r>
        <w:rPr>
          <w:rFonts w:eastAsia="Times New Roman" w:cs="Arial"/>
          <w:b/>
          <w:color w:val="222222"/>
          <w:sz w:val="24"/>
          <w:szCs w:val="24"/>
        </w:rPr>
        <w:t xml:space="preserve">Analysis of </w:t>
      </w:r>
      <w:proofErr w:type="spellStart"/>
      <w:r>
        <w:rPr>
          <w:rFonts w:eastAsia="Times New Roman" w:cs="Arial"/>
          <w:b/>
          <w:color w:val="222222"/>
          <w:sz w:val="24"/>
          <w:szCs w:val="24"/>
        </w:rPr>
        <w:t>mTOR</w:t>
      </w:r>
      <w:proofErr w:type="spellEnd"/>
      <w:r>
        <w:rPr>
          <w:rFonts w:eastAsia="Times New Roman" w:cs="Arial"/>
          <w:b/>
          <w:color w:val="222222"/>
          <w:sz w:val="24"/>
          <w:szCs w:val="24"/>
        </w:rPr>
        <w:t xml:space="preserve"> and AKT signaling in breast cancer cell lines treated with</w:t>
      </w:r>
      <w:r w:rsidR="00747201">
        <w:rPr>
          <w:rFonts w:eastAsia="Times New Roman" w:cs="Arial"/>
          <w:b/>
          <w:color w:val="222222"/>
          <w:sz w:val="24"/>
          <w:szCs w:val="24"/>
        </w:rPr>
        <w:t xml:space="preserve"> </w:t>
      </w:r>
      <w:proofErr w:type="spellStart"/>
      <w:r w:rsidR="00747201">
        <w:rPr>
          <w:rFonts w:eastAsia="Times New Roman" w:cs="Arial"/>
          <w:b/>
          <w:color w:val="222222"/>
          <w:sz w:val="24"/>
          <w:szCs w:val="24"/>
        </w:rPr>
        <w:t>dasatinib</w:t>
      </w:r>
      <w:proofErr w:type="spellEnd"/>
      <w:r w:rsidR="00747201">
        <w:rPr>
          <w:rFonts w:eastAsia="Times New Roman" w:cs="Arial"/>
          <w:b/>
          <w:color w:val="222222"/>
          <w:sz w:val="24"/>
          <w:szCs w:val="24"/>
        </w:rPr>
        <w:t xml:space="preserve"> and </w:t>
      </w:r>
      <w:proofErr w:type="spellStart"/>
      <w:r w:rsidR="00747201">
        <w:rPr>
          <w:rFonts w:eastAsia="Times New Roman" w:cs="Arial"/>
          <w:b/>
          <w:color w:val="222222"/>
          <w:sz w:val="24"/>
          <w:szCs w:val="24"/>
        </w:rPr>
        <w:t>rapamycin</w:t>
      </w:r>
      <w:proofErr w:type="spellEnd"/>
      <w:r>
        <w:rPr>
          <w:rFonts w:cs="Arial"/>
          <w:color w:val="222222"/>
        </w:rPr>
        <w:t xml:space="preserve">.  </w:t>
      </w:r>
      <w:r w:rsidR="00747201">
        <w:rPr>
          <w:rFonts w:cs="Arial"/>
          <w:color w:val="222222"/>
        </w:rPr>
        <w:t xml:space="preserve">Breast cancer cell lines were treated as in Fig. 2A with </w:t>
      </w:r>
      <w:proofErr w:type="spellStart"/>
      <w:r w:rsidR="00747201">
        <w:rPr>
          <w:rFonts w:cs="Arial"/>
          <w:color w:val="222222"/>
        </w:rPr>
        <w:t>dasatinib</w:t>
      </w:r>
      <w:proofErr w:type="spellEnd"/>
      <w:r w:rsidR="00747201">
        <w:rPr>
          <w:rFonts w:cs="Arial"/>
          <w:color w:val="222222"/>
        </w:rPr>
        <w:t xml:space="preserve"> [MCF7 and BT474 (1uM), MDA-MB-231 (100nM)], </w:t>
      </w:r>
      <w:proofErr w:type="spellStart"/>
      <w:r w:rsidR="00747201">
        <w:rPr>
          <w:rFonts w:cs="Arial"/>
          <w:color w:val="222222"/>
        </w:rPr>
        <w:t>rapamycin</w:t>
      </w:r>
      <w:proofErr w:type="spellEnd"/>
      <w:r w:rsidR="00747201">
        <w:rPr>
          <w:rFonts w:cs="Arial"/>
          <w:color w:val="222222"/>
        </w:rPr>
        <w:t xml:space="preserve"> [MCF7 and BT474 (1nM), MDA-MB-231 (100nM)] or in combination for 1 and 24 hours.</w:t>
      </w:r>
      <w:r w:rsidR="00E60643">
        <w:rPr>
          <w:rFonts w:cs="Arial"/>
          <w:color w:val="222222"/>
        </w:rPr>
        <w:t xml:space="preserve">  Western blots w</w:t>
      </w:r>
      <w:r w:rsidR="00747201">
        <w:rPr>
          <w:rFonts w:cs="Arial"/>
          <w:color w:val="222222"/>
        </w:rPr>
        <w:t xml:space="preserve">ere probed with indicated </w:t>
      </w:r>
      <w:r w:rsidR="00747201">
        <w:rPr>
          <w:rFonts w:cs="Arial"/>
          <w:color w:val="222222"/>
        </w:rPr>
        <w:lastRenderedPageBreak/>
        <w:t>antibodies.  Phosphor</w:t>
      </w:r>
      <w:r w:rsidR="00E60643">
        <w:rPr>
          <w:rFonts w:cs="Arial"/>
          <w:color w:val="222222"/>
        </w:rPr>
        <w:t>yl</w:t>
      </w:r>
      <w:r w:rsidR="00747201">
        <w:rPr>
          <w:rFonts w:cs="Arial"/>
          <w:color w:val="222222"/>
        </w:rPr>
        <w:t xml:space="preserve">ation of </w:t>
      </w:r>
      <w:r w:rsidR="00F305DD">
        <w:rPr>
          <w:rFonts w:cs="Arial"/>
          <w:color w:val="222222"/>
        </w:rPr>
        <w:t>FoxO1/3a</w:t>
      </w:r>
      <w:r w:rsidR="00747201">
        <w:rPr>
          <w:rFonts w:cs="Arial"/>
          <w:color w:val="222222"/>
        </w:rPr>
        <w:t xml:space="preserve">, a direct target of AKT, confirms an increase in AKT activity with </w:t>
      </w:r>
      <w:proofErr w:type="spellStart"/>
      <w:r w:rsidR="00747201">
        <w:rPr>
          <w:rFonts w:cs="Arial"/>
          <w:color w:val="222222"/>
        </w:rPr>
        <w:t>rapamycin</w:t>
      </w:r>
      <w:proofErr w:type="spellEnd"/>
      <w:r w:rsidR="00747201">
        <w:rPr>
          <w:rFonts w:cs="Arial"/>
          <w:color w:val="222222"/>
        </w:rPr>
        <w:t xml:space="preserve"> treatment.  </w:t>
      </w:r>
      <w:r w:rsidR="009B55CD">
        <w:rPr>
          <w:rFonts w:cs="Arial"/>
          <w:color w:val="222222"/>
        </w:rPr>
        <w:t xml:space="preserve">Quantification of changes in the ratio of </w:t>
      </w:r>
      <w:proofErr w:type="spellStart"/>
      <w:r w:rsidR="009B55CD">
        <w:rPr>
          <w:rFonts w:cs="Arial"/>
          <w:color w:val="222222"/>
        </w:rPr>
        <w:t>phosph</w:t>
      </w:r>
      <w:r w:rsidR="00E60643">
        <w:rPr>
          <w:rFonts w:cs="Arial"/>
          <w:color w:val="222222"/>
        </w:rPr>
        <w:t>o</w:t>
      </w:r>
      <w:proofErr w:type="spellEnd"/>
      <w:r w:rsidR="009B55CD">
        <w:rPr>
          <w:rFonts w:cs="Arial"/>
          <w:color w:val="222222"/>
        </w:rPr>
        <w:t>- to total AKT at each time point is shown in the graphs below</w:t>
      </w:r>
      <w:r w:rsidR="00E60643">
        <w:rPr>
          <w:rFonts w:cs="Arial"/>
          <w:color w:val="222222"/>
        </w:rPr>
        <w:t xml:space="preserve"> the blots</w:t>
      </w:r>
      <w:r w:rsidR="009B55CD">
        <w:rPr>
          <w:rFonts w:cs="Arial"/>
          <w:color w:val="222222"/>
        </w:rPr>
        <w:t xml:space="preserve">.  </w:t>
      </w:r>
    </w:p>
    <w:p w:rsidR="009B55CD" w:rsidRPr="00E60643" w:rsidRDefault="009B55CD" w:rsidP="00833FF2">
      <w:pPr>
        <w:spacing w:line="480" w:lineRule="auto"/>
        <w:jc w:val="both"/>
        <w:rPr>
          <w:rFonts w:cs="Arial"/>
          <w:color w:val="222222"/>
        </w:rPr>
      </w:pPr>
      <w:proofErr w:type="gramStart"/>
      <w:r w:rsidRPr="003C72AF">
        <w:rPr>
          <w:rFonts w:eastAsia="Times New Roman" w:cs="Arial"/>
          <w:b/>
          <w:color w:val="222222"/>
          <w:sz w:val="24"/>
          <w:szCs w:val="24"/>
        </w:rPr>
        <w:t xml:space="preserve">Supplementary Figure </w:t>
      </w:r>
      <w:r>
        <w:rPr>
          <w:rFonts w:eastAsia="Times New Roman" w:cs="Arial"/>
          <w:b/>
          <w:color w:val="222222"/>
          <w:sz w:val="24"/>
          <w:szCs w:val="24"/>
        </w:rPr>
        <w:t>S4.</w:t>
      </w:r>
      <w:proofErr w:type="gramEnd"/>
      <w:r w:rsidRPr="003C72AF">
        <w:rPr>
          <w:rFonts w:eastAsia="Times New Roman" w:cs="Arial"/>
          <w:color w:val="222222"/>
          <w:sz w:val="24"/>
          <w:szCs w:val="24"/>
        </w:rPr>
        <w:t xml:space="preserve">  </w:t>
      </w:r>
      <w:r>
        <w:rPr>
          <w:rFonts w:eastAsia="Times New Roman" w:cs="Arial"/>
          <w:b/>
          <w:color w:val="222222"/>
          <w:sz w:val="24"/>
          <w:szCs w:val="24"/>
        </w:rPr>
        <w:t xml:space="preserve">Combination </w:t>
      </w:r>
      <w:proofErr w:type="spellStart"/>
      <w:r>
        <w:rPr>
          <w:rFonts w:eastAsia="Times New Roman" w:cs="Arial"/>
          <w:b/>
          <w:color w:val="222222"/>
          <w:sz w:val="24"/>
          <w:szCs w:val="24"/>
        </w:rPr>
        <w:t>dasatinib</w:t>
      </w:r>
      <w:proofErr w:type="spellEnd"/>
      <w:r>
        <w:rPr>
          <w:rFonts w:eastAsia="Times New Roman" w:cs="Arial"/>
          <w:b/>
          <w:color w:val="222222"/>
          <w:sz w:val="24"/>
          <w:szCs w:val="24"/>
        </w:rPr>
        <w:t xml:space="preserve"> and </w:t>
      </w:r>
      <w:proofErr w:type="spellStart"/>
      <w:r>
        <w:rPr>
          <w:rFonts w:eastAsia="Times New Roman" w:cs="Arial"/>
          <w:b/>
          <w:color w:val="222222"/>
          <w:sz w:val="24"/>
          <w:szCs w:val="24"/>
        </w:rPr>
        <w:t>rapamycin</w:t>
      </w:r>
      <w:proofErr w:type="spellEnd"/>
      <w:r>
        <w:rPr>
          <w:rFonts w:eastAsia="Times New Roman" w:cs="Arial"/>
          <w:b/>
          <w:color w:val="222222"/>
          <w:sz w:val="24"/>
          <w:szCs w:val="24"/>
        </w:rPr>
        <w:t xml:space="preserve"> does not increase apopto</w:t>
      </w:r>
      <w:r w:rsidR="00FB4785">
        <w:rPr>
          <w:rFonts w:eastAsia="Times New Roman" w:cs="Arial"/>
          <w:b/>
          <w:color w:val="222222"/>
          <w:sz w:val="24"/>
          <w:szCs w:val="24"/>
        </w:rPr>
        <w:t xml:space="preserve">sis over single agent treatment.  A, </w:t>
      </w:r>
      <w:r>
        <w:rPr>
          <w:rFonts w:cs="Arial"/>
          <w:color w:val="222222"/>
        </w:rPr>
        <w:t>Breast cancer cell lines were treate</w:t>
      </w:r>
      <w:r w:rsidR="00FB4785">
        <w:rPr>
          <w:rFonts w:cs="Arial"/>
          <w:color w:val="222222"/>
        </w:rPr>
        <w:t xml:space="preserve">d as in Fig. 2A, stained with </w:t>
      </w:r>
      <w:proofErr w:type="spellStart"/>
      <w:r w:rsidR="00FB4785">
        <w:rPr>
          <w:rFonts w:cs="Arial"/>
          <w:color w:val="222222"/>
        </w:rPr>
        <w:t>propidium</w:t>
      </w:r>
      <w:proofErr w:type="spellEnd"/>
      <w:r w:rsidR="00FB4785">
        <w:rPr>
          <w:rFonts w:cs="Arial"/>
          <w:color w:val="222222"/>
        </w:rPr>
        <w:t xml:space="preserve"> iodide (PI) and analyzed by flow </w:t>
      </w:r>
      <w:proofErr w:type="spellStart"/>
      <w:r w:rsidR="00FB4785">
        <w:rPr>
          <w:rFonts w:cs="Arial"/>
          <w:color w:val="222222"/>
        </w:rPr>
        <w:t>cytometry</w:t>
      </w:r>
      <w:proofErr w:type="spellEnd"/>
      <w:r w:rsidR="00FB4785">
        <w:rPr>
          <w:rFonts w:cs="Arial"/>
          <w:color w:val="222222"/>
        </w:rPr>
        <w:t xml:space="preserve"> for changes in the </w:t>
      </w:r>
      <w:r>
        <w:rPr>
          <w:rFonts w:cs="Arial"/>
          <w:color w:val="222222"/>
        </w:rPr>
        <w:t>SubG1</w:t>
      </w:r>
      <w:r w:rsidR="00FB4785">
        <w:rPr>
          <w:rFonts w:cs="Arial"/>
          <w:color w:val="222222"/>
        </w:rPr>
        <w:t xml:space="preserve"> population.  </w:t>
      </w:r>
      <w:r w:rsidR="00FB4785">
        <w:rPr>
          <w:rFonts w:cs="Arial"/>
          <w:b/>
          <w:color w:val="222222"/>
        </w:rPr>
        <w:t>B,</w:t>
      </w:r>
      <w:r w:rsidR="00FB4785">
        <w:rPr>
          <w:rFonts w:cs="Arial"/>
          <w:color w:val="222222"/>
        </w:rPr>
        <w:t xml:space="preserve"> </w:t>
      </w:r>
      <w:r w:rsidR="00F305DD">
        <w:rPr>
          <w:rFonts w:cs="Arial"/>
          <w:color w:val="222222"/>
        </w:rPr>
        <w:t xml:space="preserve">MCF7 cells were further analyzed for apoptosis at 24 and 48 hours.  Representative plots of </w:t>
      </w:r>
      <w:proofErr w:type="spellStart"/>
      <w:r w:rsidR="00F305DD">
        <w:rPr>
          <w:rFonts w:cs="Arial"/>
          <w:color w:val="222222"/>
        </w:rPr>
        <w:t>a</w:t>
      </w:r>
      <w:r w:rsidR="00F305DD" w:rsidRPr="00F305DD">
        <w:rPr>
          <w:rFonts w:cs="Arial"/>
          <w:color w:val="222222"/>
        </w:rPr>
        <w:t>nnexin</w:t>
      </w:r>
      <w:proofErr w:type="spellEnd"/>
      <w:r w:rsidR="00F305DD" w:rsidRPr="00F305DD">
        <w:rPr>
          <w:rFonts w:cs="Arial"/>
          <w:color w:val="222222"/>
        </w:rPr>
        <w:t xml:space="preserve"> V and PI staining of MCF7 cells treated with indicated drugs</w:t>
      </w:r>
      <w:proofErr w:type="gramStart"/>
      <w:r w:rsidR="00F305DD">
        <w:rPr>
          <w:rFonts w:cs="Arial"/>
          <w:color w:val="222222"/>
        </w:rPr>
        <w:t>.</w:t>
      </w:r>
      <w:r w:rsidR="00F305DD" w:rsidRPr="00F305DD">
        <w:rPr>
          <w:rFonts w:cs="Arial"/>
          <w:color w:val="222222"/>
        </w:rPr>
        <w:t>.</w:t>
      </w:r>
      <w:proofErr w:type="gramEnd"/>
      <w:r w:rsidR="00F305DD" w:rsidRPr="00F305DD">
        <w:rPr>
          <w:rFonts w:cs="Arial"/>
          <w:color w:val="222222"/>
        </w:rPr>
        <w:t xml:space="preserve">  </w:t>
      </w:r>
      <w:r w:rsidR="00F305DD" w:rsidRPr="00F305DD">
        <w:rPr>
          <w:rFonts w:cs="Arial"/>
          <w:b/>
          <w:bCs/>
          <w:color w:val="222222"/>
        </w:rPr>
        <w:t xml:space="preserve">C, </w:t>
      </w:r>
      <w:r w:rsidR="00F305DD" w:rsidRPr="00F305DD">
        <w:rPr>
          <w:rFonts w:cs="Arial"/>
          <w:color w:val="222222"/>
        </w:rPr>
        <w:t xml:space="preserve">The % of apoptotic cells represents the AV+/PI- </w:t>
      </w:r>
      <w:r w:rsidR="00B20CEF">
        <w:rPr>
          <w:rFonts w:cs="Arial"/>
          <w:color w:val="222222"/>
        </w:rPr>
        <w:t>population</w:t>
      </w:r>
      <w:r w:rsidR="00F305DD" w:rsidRPr="00F305DD">
        <w:rPr>
          <w:rFonts w:cs="Arial"/>
          <w:color w:val="222222"/>
        </w:rPr>
        <w:t xml:space="preserve"> in the lower-right quadrant.  Error bars: ±</w:t>
      </w:r>
      <w:proofErr w:type="gramStart"/>
      <w:r w:rsidR="00F305DD" w:rsidRPr="00F305DD">
        <w:rPr>
          <w:rFonts w:cs="Arial"/>
          <w:color w:val="222222"/>
        </w:rPr>
        <w:t>S.D.,</w:t>
      </w:r>
      <w:proofErr w:type="gramEnd"/>
      <w:r w:rsidR="00F305DD" w:rsidRPr="00F305DD">
        <w:rPr>
          <w:rFonts w:cs="Arial"/>
          <w:color w:val="222222"/>
        </w:rPr>
        <w:t xml:space="preserve"> n=3.</w:t>
      </w:r>
    </w:p>
    <w:p w:rsidR="004704BE" w:rsidRPr="00833FF2" w:rsidRDefault="009B6869" w:rsidP="00833FF2">
      <w:pPr>
        <w:spacing w:line="480" w:lineRule="auto"/>
        <w:jc w:val="both"/>
        <w:rPr>
          <w:sz w:val="24"/>
          <w:szCs w:val="24"/>
        </w:rPr>
      </w:pPr>
      <w:proofErr w:type="gramStart"/>
      <w:r w:rsidRPr="003C72AF">
        <w:rPr>
          <w:rFonts w:eastAsia="Times New Roman" w:cs="Arial"/>
          <w:b/>
          <w:color w:val="222222"/>
          <w:sz w:val="24"/>
          <w:szCs w:val="24"/>
        </w:rPr>
        <w:t xml:space="preserve">Supplementary Figure </w:t>
      </w:r>
      <w:r w:rsidR="00214A26">
        <w:rPr>
          <w:rFonts w:eastAsia="Times New Roman" w:cs="Arial"/>
          <w:b/>
          <w:color w:val="222222"/>
          <w:sz w:val="24"/>
          <w:szCs w:val="24"/>
        </w:rPr>
        <w:t>S</w:t>
      </w:r>
      <w:r w:rsidR="00E03E51">
        <w:rPr>
          <w:rFonts w:eastAsia="Times New Roman" w:cs="Arial"/>
          <w:b/>
          <w:color w:val="222222"/>
          <w:sz w:val="24"/>
          <w:szCs w:val="24"/>
        </w:rPr>
        <w:t>5</w:t>
      </w:r>
      <w:r w:rsidR="00290B76">
        <w:rPr>
          <w:rFonts w:eastAsia="Times New Roman" w:cs="Arial"/>
          <w:b/>
          <w:color w:val="222222"/>
          <w:sz w:val="24"/>
          <w:szCs w:val="24"/>
        </w:rPr>
        <w:t>.</w:t>
      </w:r>
      <w:proofErr w:type="gramEnd"/>
      <w:r w:rsidRPr="003C72AF">
        <w:rPr>
          <w:rFonts w:eastAsia="Times New Roman" w:cs="Arial"/>
          <w:color w:val="222222"/>
          <w:sz w:val="24"/>
          <w:szCs w:val="24"/>
        </w:rPr>
        <w:t xml:space="preserve">  </w:t>
      </w:r>
      <w:r w:rsidR="002810BE" w:rsidRPr="002810BE">
        <w:rPr>
          <w:rFonts w:eastAsia="Times New Roman" w:cs="Arial"/>
          <w:b/>
          <w:color w:val="222222"/>
          <w:sz w:val="24"/>
          <w:szCs w:val="24"/>
        </w:rPr>
        <w:t>Animal monitoring of mouse weight and ex-vivo tumor weights for drug toxicity</w:t>
      </w:r>
      <w:r w:rsidR="002810BE">
        <w:rPr>
          <w:rFonts w:cs="Arial"/>
          <w:color w:val="222222"/>
        </w:rPr>
        <w:t xml:space="preserve">.  </w:t>
      </w:r>
      <w:r w:rsidR="00290B76" w:rsidRPr="003C72AF">
        <w:rPr>
          <w:sz w:val="24"/>
          <w:szCs w:val="24"/>
        </w:rPr>
        <w:t xml:space="preserve">Differences in body weights among all treatment groups in </w:t>
      </w:r>
      <w:r w:rsidR="00290B76">
        <w:rPr>
          <w:sz w:val="24"/>
          <w:szCs w:val="24"/>
        </w:rPr>
        <w:t xml:space="preserve">graph </w:t>
      </w:r>
      <w:r w:rsidR="00290B76" w:rsidRPr="00290B76">
        <w:rPr>
          <w:b/>
          <w:sz w:val="24"/>
          <w:szCs w:val="24"/>
        </w:rPr>
        <w:t xml:space="preserve">A </w:t>
      </w:r>
      <w:r w:rsidR="00290B76" w:rsidRPr="003C72AF">
        <w:rPr>
          <w:sz w:val="24"/>
          <w:szCs w:val="24"/>
        </w:rPr>
        <w:t xml:space="preserve">can largely be attributed to differences in tumor weights in </w:t>
      </w:r>
      <w:r w:rsidR="00290B76">
        <w:rPr>
          <w:sz w:val="24"/>
          <w:szCs w:val="24"/>
        </w:rPr>
        <w:t xml:space="preserve">graph </w:t>
      </w:r>
      <w:r w:rsidR="00290B76" w:rsidRPr="00290B76">
        <w:rPr>
          <w:b/>
          <w:sz w:val="24"/>
          <w:szCs w:val="24"/>
        </w:rPr>
        <w:t>B</w:t>
      </w:r>
      <w:r w:rsidR="00290B76" w:rsidRPr="003C72AF">
        <w:rPr>
          <w:sz w:val="24"/>
          <w:szCs w:val="24"/>
        </w:rPr>
        <w:t xml:space="preserve">.  </w:t>
      </w:r>
      <w:proofErr w:type="gramStart"/>
      <w:r w:rsidRPr="003C72AF">
        <w:rPr>
          <w:b/>
          <w:bCs/>
          <w:sz w:val="24"/>
          <w:szCs w:val="24"/>
        </w:rPr>
        <w:t>A</w:t>
      </w:r>
      <w:r w:rsidR="00290B76">
        <w:rPr>
          <w:b/>
          <w:bCs/>
          <w:sz w:val="24"/>
          <w:szCs w:val="24"/>
        </w:rPr>
        <w:t xml:space="preserve">, </w:t>
      </w:r>
      <w:r w:rsidR="003C72AF" w:rsidRPr="003C72AF">
        <w:rPr>
          <w:bCs/>
          <w:sz w:val="24"/>
          <w:szCs w:val="24"/>
        </w:rPr>
        <w:t>Graph of animal weights across experimental time course.</w:t>
      </w:r>
      <w:proofErr w:type="gramEnd"/>
      <w:r w:rsidR="003C72AF" w:rsidRPr="003C72AF">
        <w:rPr>
          <w:bCs/>
          <w:sz w:val="24"/>
          <w:szCs w:val="24"/>
        </w:rPr>
        <w:t xml:space="preserve">  </w:t>
      </w:r>
      <w:r w:rsidRPr="003C72AF">
        <w:rPr>
          <w:sz w:val="24"/>
          <w:szCs w:val="24"/>
        </w:rPr>
        <w:t>Mice in all four treatment groups were weighed twice per week and monitored for signs of drug toxicity.  Mice in the vehicle treated group were killed at day 15 due to tumor burden.   All other treatment groups were monitored to 30 days.  Statistical analysis was performed comparing all groups at day 15.  Average mouse weight in all drug treatment groups (</w:t>
      </w:r>
      <w:proofErr w:type="spellStart"/>
      <w:r w:rsidRPr="003C72AF">
        <w:rPr>
          <w:sz w:val="24"/>
          <w:szCs w:val="24"/>
        </w:rPr>
        <w:t>dasatinib</w:t>
      </w:r>
      <w:proofErr w:type="spellEnd"/>
      <w:r w:rsidRPr="003C72AF">
        <w:rPr>
          <w:sz w:val="24"/>
          <w:szCs w:val="24"/>
        </w:rPr>
        <w:t xml:space="preserve">, </w:t>
      </w:r>
      <w:proofErr w:type="spellStart"/>
      <w:r w:rsidRPr="003C72AF">
        <w:rPr>
          <w:sz w:val="24"/>
          <w:szCs w:val="24"/>
        </w:rPr>
        <w:t>rapamycin</w:t>
      </w:r>
      <w:proofErr w:type="spellEnd"/>
      <w:r w:rsidRPr="003C72AF">
        <w:rPr>
          <w:sz w:val="24"/>
          <w:szCs w:val="24"/>
        </w:rPr>
        <w:t xml:space="preserve">, combination) was significantly less compared to 15 day vehicle treated group (**P&lt;0.0001).  There was no difference in body weight among the </w:t>
      </w:r>
      <w:proofErr w:type="spellStart"/>
      <w:r w:rsidRPr="003C72AF">
        <w:rPr>
          <w:sz w:val="24"/>
          <w:szCs w:val="24"/>
        </w:rPr>
        <w:t>dasatinib</w:t>
      </w:r>
      <w:proofErr w:type="spellEnd"/>
      <w:r w:rsidRPr="003C72AF">
        <w:rPr>
          <w:sz w:val="24"/>
          <w:szCs w:val="24"/>
        </w:rPr>
        <w:t xml:space="preserve">, </w:t>
      </w:r>
      <w:proofErr w:type="spellStart"/>
      <w:r w:rsidRPr="003C72AF">
        <w:rPr>
          <w:sz w:val="24"/>
          <w:szCs w:val="24"/>
        </w:rPr>
        <w:t>rapamycin</w:t>
      </w:r>
      <w:proofErr w:type="spellEnd"/>
      <w:r w:rsidRPr="003C72AF">
        <w:rPr>
          <w:sz w:val="24"/>
          <w:szCs w:val="24"/>
        </w:rPr>
        <w:t xml:space="preserve">, and combination-treated groups at 15 days.  At 30 days, the average mouse weight in the combination-treated group was slightly less than either the </w:t>
      </w:r>
      <w:proofErr w:type="spellStart"/>
      <w:r w:rsidR="00694D96" w:rsidRPr="003C72AF">
        <w:rPr>
          <w:sz w:val="24"/>
          <w:szCs w:val="24"/>
        </w:rPr>
        <w:t>dasatinib</w:t>
      </w:r>
      <w:proofErr w:type="spellEnd"/>
      <w:r w:rsidRPr="003C72AF">
        <w:rPr>
          <w:sz w:val="24"/>
          <w:szCs w:val="24"/>
        </w:rPr>
        <w:t xml:space="preserve">-treated or </w:t>
      </w:r>
      <w:proofErr w:type="spellStart"/>
      <w:r w:rsidRPr="003C72AF">
        <w:rPr>
          <w:sz w:val="24"/>
          <w:szCs w:val="24"/>
        </w:rPr>
        <w:t>rapamycin</w:t>
      </w:r>
      <w:proofErr w:type="spellEnd"/>
      <w:r w:rsidRPr="003C72AF">
        <w:rPr>
          <w:sz w:val="24"/>
          <w:szCs w:val="24"/>
        </w:rPr>
        <w:t xml:space="preserve">-treated groups (*P&lt;0.05).  </w:t>
      </w:r>
      <w:r w:rsidR="00290B76">
        <w:rPr>
          <w:b/>
          <w:bCs/>
          <w:sz w:val="24"/>
          <w:szCs w:val="24"/>
        </w:rPr>
        <w:t>B,</w:t>
      </w:r>
      <w:r w:rsidR="00290B76">
        <w:rPr>
          <w:bCs/>
          <w:sz w:val="24"/>
          <w:szCs w:val="24"/>
        </w:rPr>
        <w:t xml:space="preserve"> </w:t>
      </w:r>
      <w:r w:rsidRPr="003C72AF">
        <w:rPr>
          <w:sz w:val="24"/>
          <w:szCs w:val="24"/>
        </w:rPr>
        <w:t xml:space="preserve">Graph of </w:t>
      </w:r>
      <w:r w:rsidRPr="003C72AF">
        <w:rPr>
          <w:i/>
          <w:iCs/>
          <w:sz w:val="24"/>
          <w:szCs w:val="24"/>
        </w:rPr>
        <w:t>ex-vivo</w:t>
      </w:r>
      <w:r w:rsidRPr="003C72AF">
        <w:rPr>
          <w:sz w:val="24"/>
          <w:szCs w:val="24"/>
        </w:rPr>
        <w:t xml:space="preserve"> tumor weights for each treatment group at 30 days (vehicle, 15 days).  Tumors from all treatment groups weighed significantly </w:t>
      </w:r>
      <w:r w:rsidRPr="003C72AF">
        <w:rPr>
          <w:sz w:val="24"/>
          <w:szCs w:val="24"/>
        </w:rPr>
        <w:lastRenderedPageBreak/>
        <w:t xml:space="preserve">less than </w:t>
      </w:r>
      <w:r w:rsidR="00546FBF">
        <w:rPr>
          <w:sz w:val="24"/>
          <w:szCs w:val="24"/>
        </w:rPr>
        <w:t xml:space="preserve">the </w:t>
      </w:r>
      <w:r w:rsidRPr="003C72AF">
        <w:rPr>
          <w:sz w:val="24"/>
          <w:szCs w:val="24"/>
        </w:rPr>
        <w:t xml:space="preserve">vehicle treated group (**P&lt;0.005); </w:t>
      </w:r>
      <w:proofErr w:type="spellStart"/>
      <w:r w:rsidRPr="003C72AF">
        <w:rPr>
          <w:sz w:val="24"/>
          <w:szCs w:val="24"/>
        </w:rPr>
        <w:t>rapamycin</w:t>
      </w:r>
      <w:proofErr w:type="spellEnd"/>
      <w:r w:rsidRPr="003C72AF">
        <w:rPr>
          <w:sz w:val="24"/>
          <w:szCs w:val="24"/>
        </w:rPr>
        <w:t xml:space="preserve"> versus </w:t>
      </w:r>
      <w:proofErr w:type="spellStart"/>
      <w:r w:rsidRPr="003C72AF">
        <w:rPr>
          <w:sz w:val="24"/>
          <w:szCs w:val="24"/>
        </w:rPr>
        <w:t>dasatinib</w:t>
      </w:r>
      <w:proofErr w:type="spellEnd"/>
      <w:r w:rsidRPr="003C72AF">
        <w:rPr>
          <w:sz w:val="24"/>
          <w:szCs w:val="24"/>
        </w:rPr>
        <w:t xml:space="preserve"> (</w:t>
      </w:r>
      <w:r w:rsidRPr="003C72AF">
        <w:rPr>
          <w:sz w:val="24"/>
          <w:szCs w:val="24"/>
          <w:vertAlign w:val="superscript"/>
        </w:rPr>
        <w:t>#</w:t>
      </w:r>
      <w:r w:rsidRPr="003C72AF">
        <w:rPr>
          <w:sz w:val="24"/>
          <w:szCs w:val="24"/>
        </w:rPr>
        <w:t xml:space="preserve">P&lt;0.05); combination versus </w:t>
      </w:r>
      <w:proofErr w:type="spellStart"/>
      <w:r w:rsidRPr="003C72AF">
        <w:rPr>
          <w:sz w:val="24"/>
          <w:szCs w:val="24"/>
        </w:rPr>
        <w:t>dasatinib</w:t>
      </w:r>
      <w:proofErr w:type="spellEnd"/>
      <w:r w:rsidRPr="003C72AF">
        <w:rPr>
          <w:sz w:val="24"/>
          <w:szCs w:val="24"/>
        </w:rPr>
        <w:t xml:space="preserve"> (</w:t>
      </w:r>
      <w:r w:rsidRPr="003C72AF">
        <w:rPr>
          <w:sz w:val="24"/>
          <w:szCs w:val="24"/>
          <w:vertAlign w:val="superscript"/>
        </w:rPr>
        <w:t>^</w:t>
      </w:r>
      <w:r w:rsidRPr="003C72AF">
        <w:rPr>
          <w:sz w:val="24"/>
          <w:szCs w:val="24"/>
        </w:rPr>
        <w:t xml:space="preserve">P&lt;.01); combination versus </w:t>
      </w:r>
      <w:proofErr w:type="spellStart"/>
      <w:r w:rsidRPr="003C72AF">
        <w:rPr>
          <w:sz w:val="24"/>
          <w:szCs w:val="24"/>
        </w:rPr>
        <w:t>rapamycin</w:t>
      </w:r>
      <w:proofErr w:type="spellEnd"/>
      <w:r w:rsidRPr="003C72AF">
        <w:rPr>
          <w:sz w:val="24"/>
          <w:szCs w:val="24"/>
        </w:rPr>
        <w:t xml:space="preserve"> (*P&lt;0.005). </w:t>
      </w:r>
      <w:r w:rsidR="003C72AF" w:rsidRPr="003C72AF">
        <w:rPr>
          <w:sz w:val="24"/>
          <w:szCs w:val="24"/>
        </w:rPr>
        <w:t xml:space="preserve">Error bars indicate SD.  </w:t>
      </w:r>
      <w:r w:rsidR="004704BE">
        <w:rPr>
          <w:b/>
        </w:rPr>
        <w:t xml:space="preserve">             </w:t>
      </w:r>
    </w:p>
    <w:p w:rsidR="002D50DA" w:rsidRPr="002D50DA" w:rsidRDefault="00B22563" w:rsidP="002D50DA">
      <w:pPr>
        <w:spacing w:line="480" w:lineRule="auto"/>
        <w:jc w:val="both"/>
        <w:rPr>
          <w:rFonts w:eastAsia="Times New Roman" w:cs="Arial"/>
          <w:color w:val="222222"/>
          <w:sz w:val="24"/>
          <w:szCs w:val="24"/>
        </w:rPr>
      </w:pPr>
      <w:proofErr w:type="gramStart"/>
      <w:r>
        <w:rPr>
          <w:rFonts w:eastAsia="Times New Roman" w:cs="Arial"/>
          <w:b/>
          <w:color w:val="222222"/>
          <w:sz w:val="24"/>
          <w:szCs w:val="24"/>
        </w:rPr>
        <w:t>Supplementary Figure S</w:t>
      </w:r>
      <w:r w:rsidR="00E03E51">
        <w:rPr>
          <w:rFonts w:eastAsia="Times New Roman" w:cs="Arial"/>
          <w:b/>
          <w:color w:val="222222"/>
          <w:sz w:val="24"/>
          <w:szCs w:val="24"/>
        </w:rPr>
        <w:t>6</w:t>
      </w:r>
      <w:r>
        <w:rPr>
          <w:rFonts w:eastAsia="Times New Roman" w:cs="Arial"/>
          <w:b/>
          <w:color w:val="222222"/>
          <w:sz w:val="24"/>
          <w:szCs w:val="24"/>
        </w:rPr>
        <w:t>.</w:t>
      </w:r>
      <w:proofErr w:type="gramEnd"/>
      <w:r>
        <w:rPr>
          <w:rFonts w:eastAsia="Times New Roman" w:cs="Arial"/>
          <w:b/>
          <w:color w:val="222222"/>
          <w:sz w:val="24"/>
          <w:szCs w:val="24"/>
        </w:rPr>
        <w:t xml:space="preserve">  </w:t>
      </w:r>
      <w:r w:rsidR="002D50DA" w:rsidRPr="004704BE">
        <w:rPr>
          <w:b/>
          <w:sz w:val="24"/>
          <w:szCs w:val="24"/>
        </w:rPr>
        <w:t xml:space="preserve">The combination of </w:t>
      </w:r>
      <w:proofErr w:type="spellStart"/>
      <w:r w:rsidR="002D50DA" w:rsidRPr="004704BE">
        <w:rPr>
          <w:b/>
          <w:sz w:val="24"/>
          <w:szCs w:val="24"/>
        </w:rPr>
        <w:t>dasatinib</w:t>
      </w:r>
      <w:proofErr w:type="spellEnd"/>
      <w:r w:rsidR="002D50DA" w:rsidRPr="004704BE">
        <w:rPr>
          <w:b/>
          <w:sz w:val="24"/>
          <w:szCs w:val="24"/>
        </w:rPr>
        <w:t xml:space="preserve"> and </w:t>
      </w:r>
      <w:proofErr w:type="spellStart"/>
      <w:r w:rsidR="00694D96" w:rsidRPr="004704BE">
        <w:rPr>
          <w:b/>
          <w:sz w:val="24"/>
          <w:szCs w:val="24"/>
        </w:rPr>
        <w:t>rapamycin</w:t>
      </w:r>
      <w:proofErr w:type="spellEnd"/>
      <w:r w:rsidR="002D50DA" w:rsidRPr="004704BE">
        <w:rPr>
          <w:b/>
          <w:sz w:val="24"/>
          <w:szCs w:val="24"/>
        </w:rPr>
        <w:t xml:space="preserve"> induces tumor regression of </w:t>
      </w:r>
      <w:r w:rsidR="00694D96" w:rsidRPr="004704BE">
        <w:rPr>
          <w:b/>
          <w:sz w:val="24"/>
          <w:szCs w:val="24"/>
        </w:rPr>
        <w:t>MMTV-</w:t>
      </w:r>
      <w:proofErr w:type="spellStart"/>
      <w:r w:rsidR="002D50DA" w:rsidRPr="004704BE">
        <w:rPr>
          <w:b/>
          <w:sz w:val="24"/>
          <w:szCs w:val="24"/>
        </w:rPr>
        <w:t>PyMT</w:t>
      </w:r>
      <w:proofErr w:type="spellEnd"/>
      <w:r w:rsidR="002D50DA" w:rsidRPr="004704BE">
        <w:rPr>
          <w:b/>
          <w:sz w:val="24"/>
          <w:szCs w:val="24"/>
        </w:rPr>
        <w:t>-induced mammary tumors.</w:t>
      </w:r>
      <w:r w:rsidR="002D50DA" w:rsidRPr="002D50DA">
        <w:rPr>
          <w:sz w:val="24"/>
          <w:szCs w:val="24"/>
        </w:rPr>
        <w:t xml:space="preserve">  </w:t>
      </w:r>
      <w:r w:rsidR="002D50DA" w:rsidRPr="002D50DA">
        <w:rPr>
          <w:rFonts w:eastAsia="Times New Roman" w:cs="Arial"/>
          <w:color w:val="222222"/>
          <w:sz w:val="24"/>
          <w:szCs w:val="24"/>
        </w:rPr>
        <w:t xml:space="preserve">Graphed is the percent change in individual tumor volume from baseline </w:t>
      </w:r>
      <w:r w:rsidR="002D50DA" w:rsidRPr="002D50DA">
        <w:rPr>
          <w:sz w:val="24"/>
          <w:szCs w:val="24"/>
        </w:rPr>
        <w:t xml:space="preserve">by treatment group for individual mammary tumors analyzed </w:t>
      </w:r>
      <w:r>
        <w:rPr>
          <w:sz w:val="24"/>
          <w:szCs w:val="24"/>
        </w:rPr>
        <w:t xml:space="preserve">in two separate cohorts </w:t>
      </w:r>
      <w:r w:rsidR="002D50DA" w:rsidRPr="002D50DA">
        <w:rPr>
          <w:sz w:val="24"/>
          <w:szCs w:val="24"/>
        </w:rPr>
        <w:t xml:space="preserve">at </w:t>
      </w:r>
      <w:r w:rsidR="00CE7E43" w:rsidRPr="00CE7E43">
        <w:rPr>
          <w:b/>
          <w:sz w:val="24"/>
          <w:szCs w:val="24"/>
        </w:rPr>
        <w:t>A,</w:t>
      </w:r>
      <w:r w:rsidR="00CE7E43">
        <w:rPr>
          <w:sz w:val="24"/>
          <w:szCs w:val="24"/>
        </w:rPr>
        <w:t xml:space="preserve"> </w:t>
      </w:r>
      <w:r w:rsidR="002D50DA" w:rsidRPr="002D50DA">
        <w:rPr>
          <w:sz w:val="24"/>
          <w:szCs w:val="24"/>
        </w:rPr>
        <w:t xml:space="preserve">4 days and </w:t>
      </w:r>
      <w:r w:rsidR="00CE7E43" w:rsidRPr="00CE7E43">
        <w:rPr>
          <w:b/>
          <w:sz w:val="24"/>
          <w:szCs w:val="24"/>
        </w:rPr>
        <w:t>B,</w:t>
      </w:r>
      <w:r w:rsidR="00CE7E43">
        <w:rPr>
          <w:sz w:val="24"/>
          <w:szCs w:val="24"/>
        </w:rPr>
        <w:t xml:space="preserve"> </w:t>
      </w:r>
      <w:r w:rsidR="002D50DA" w:rsidRPr="002D50DA">
        <w:rPr>
          <w:sz w:val="24"/>
          <w:szCs w:val="24"/>
        </w:rPr>
        <w:t xml:space="preserve">30 days of treatment.  </w:t>
      </w:r>
      <w:r w:rsidR="00694D96">
        <w:rPr>
          <w:sz w:val="24"/>
          <w:szCs w:val="24"/>
        </w:rPr>
        <w:t>MMTV-</w:t>
      </w:r>
      <w:proofErr w:type="spellStart"/>
      <w:r w:rsidR="002D50DA" w:rsidRPr="002D50DA">
        <w:rPr>
          <w:sz w:val="24"/>
          <w:szCs w:val="24"/>
        </w:rPr>
        <w:t>PyMT</w:t>
      </w:r>
      <w:proofErr w:type="spellEnd"/>
      <w:r w:rsidR="002D50DA" w:rsidRPr="002D50DA">
        <w:rPr>
          <w:sz w:val="24"/>
          <w:szCs w:val="24"/>
        </w:rPr>
        <w:t xml:space="preserve"> mice bearing primary mammary tumors of ~300</w:t>
      </w:r>
      <w:r w:rsidR="002D50DA" w:rsidRPr="002D50DA">
        <w:rPr>
          <w:b/>
          <w:bCs/>
          <w:sz w:val="24"/>
          <w:szCs w:val="24"/>
        </w:rPr>
        <w:t xml:space="preserve"> </w:t>
      </w:r>
      <w:r w:rsidR="002D50DA" w:rsidRPr="002D50DA">
        <w:rPr>
          <w:sz w:val="24"/>
          <w:szCs w:val="24"/>
        </w:rPr>
        <w:t>mm</w:t>
      </w:r>
      <w:r w:rsidR="002D50DA" w:rsidRPr="002D50DA">
        <w:rPr>
          <w:sz w:val="24"/>
          <w:szCs w:val="24"/>
          <w:vertAlign w:val="superscript"/>
        </w:rPr>
        <w:t>3</w:t>
      </w:r>
      <w:r w:rsidR="002D50DA" w:rsidRPr="002D50DA">
        <w:rPr>
          <w:sz w:val="24"/>
          <w:szCs w:val="24"/>
        </w:rPr>
        <w:t xml:space="preserve"> were treated with vehicle, </w:t>
      </w:r>
      <w:proofErr w:type="spellStart"/>
      <w:r w:rsidR="002D50DA" w:rsidRPr="002D50DA">
        <w:rPr>
          <w:sz w:val="24"/>
          <w:szCs w:val="24"/>
        </w:rPr>
        <w:t>dasatinib</w:t>
      </w:r>
      <w:proofErr w:type="spellEnd"/>
      <w:r w:rsidR="002D50DA" w:rsidRPr="002D50DA">
        <w:rPr>
          <w:sz w:val="24"/>
          <w:szCs w:val="24"/>
        </w:rPr>
        <w:t xml:space="preserve">, </w:t>
      </w:r>
      <w:proofErr w:type="spellStart"/>
      <w:r w:rsidR="002D50DA" w:rsidRPr="002D50DA">
        <w:rPr>
          <w:sz w:val="24"/>
          <w:szCs w:val="24"/>
        </w:rPr>
        <w:t>rapamycin</w:t>
      </w:r>
      <w:proofErr w:type="spellEnd"/>
      <w:r w:rsidR="002D50DA" w:rsidRPr="002D50DA">
        <w:rPr>
          <w:sz w:val="24"/>
          <w:szCs w:val="24"/>
        </w:rPr>
        <w:t xml:space="preserve"> or with combination </w:t>
      </w:r>
      <w:proofErr w:type="spellStart"/>
      <w:r w:rsidR="002D50DA" w:rsidRPr="002D50DA">
        <w:rPr>
          <w:sz w:val="24"/>
          <w:szCs w:val="24"/>
        </w:rPr>
        <w:t>dasatinib</w:t>
      </w:r>
      <w:proofErr w:type="spellEnd"/>
      <w:r w:rsidR="002D50DA" w:rsidRPr="002D50DA">
        <w:rPr>
          <w:sz w:val="24"/>
          <w:szCs w:val="24"/>
        </w:rPr>
        <w:t xml:space="preserve"> + </w:t>
      </w:r>
      <w:proofErr w:type="spellStart"/>
      <w:r w:rsidR="002D50DA" w:rsidRPr="002D50DA">
        <w:rPr>
          <w:sz w:val="24"/>
          <w:szCs w:val="24"/>
        </w:rPr>
        <w:t>rapamycin</w:t>
      </w:r>
      <w:proofErr w:type="spellEnd"/>
      <w:r w:rsidR="002D50DA" w:rsidRPr="002D50DA">
        <w:rPr>
          <w:sz w:val="24"/>
          <w:szCs w:val="24"/>
        </w:rPr>
        <w:t xml:space="preserve">.  </w:t>
      </w:r>
      <w:r w:rsidR="002D50DA" w:rsidRPr="002D50DA">
        <w:rPr>
          <w:rFonts w:eastAsia="Times New Roman" w:cs="Arial"/>
          <w:color w:val="222222"/>
          <w:sz w:val="24"/>
          <w:szCs w:val="24"/>
        </w:rPr>
        <w:t>Dotted lines delineate progressive disease (PD), stable disease (SD), partial response (PR) and complete response (CR).  Complete regression is defined by 95% or greater decrease in tumor volume.  Data was analyzed using a mixed linear regression model to identify difference</w:t>
      </w:r>
      <w:r w:rsidR="002E4653">
        <w:rPr>
          <w:rFonts w:eastAsia="Times New Roman" w:cs="Arial"/>
          <w:color w:val="222222"/>
          <w:sz w:val="24"/>
          <w:szCs w:val="24"/>
        </w:rPr>
        <w:t>s</w:t>
      </w:r>
      <w:r w:rsidR="002D50DA" w:rsidRPr="002D50DA">
        <w:rPr>
          <w:rFonts w:eastAsia="Times New Roman" w:cs="Arial"/>
          <w:color w:val="222222"/>
          <w:sz w:val="24"/>
          <w:szCs w:val="24"/>
        </w:rPr>
        <w:t xml:space="preserve"> in response among treatment groups (see Methods for details).  </w:t>
      </w:r>
      <w:r w:rsidR="002D50DA" w:rsidRPr="002D50DA">
        <w:rPr>
          <w:rFonts w:cs="Tahoma"/>
          <w:color w:val="000000"/>
          <w:sz w:val="24"/>
          <w:szCs w:val="24"/>
        </w:rPr>
        <w:t xml:space="preserve">Tumors </w:t>
      </w:r>
      <w:r>
        <w:rPr>
          <w:rFonts w:cs="Tahoma"/>
          <w:color w:val="000000"/>
          <w:sz w:val="24"/>
          <w:szCs w:val="24"/>
        </w:rPr>
        <w:t xml:space="preserve">from the 30 day cohort </w:t>
      </w:r>
      <w:r w:rsidR="002D50DA" w:rsidRPr="002D50DA">
        <w:rPr>
          <w:rFonts w:cs="Tahoma"/>
          <w:color w:val="000000"/>
          <w:sz w:val="24"/>
          <w:szCs w:val="24"/>
        </w:rPr>
        <w:t>were collected from the vehicle-treated mice at day 15 due to excessive tumor burden</w:t>
      </w:r>
      <w:r w:rsidR="00546FBF">
        <w:rPr>
          <w:rFonts w:cs="Tahoma"/>
          <w:color w:val="000000"/>
          <w:sz w:val="24"/>
          <w:szCs w:val="24"/>
        </w:rPr>
        <w:t xml:space="preserve"> while the remaining groups of mice were treated for an additional 15 days</w:t>
      </w:r>
      <w:r w:rsidR="002D50DA" w:rsidRPr="002D50DA">
        <w:rPr>
          <w:sz w:val="24"/>
          <w:szCs w:val="24"/>
        </w:rPr>
        <w:t xml:space="preserve">.  </w:t>
      </w:r>
      <w:r w:rsidR="002D50DA" w:rsidRPr="002D50DA">
        <w:rPr>
          <w:rFonts w:eastAsia="Times New Roman" w:cs="Arial"/>
          <w:color w:val="222222"/>
          <w:sz w:val="24"/>
          <w:szCs w:val="24"/>
        </w:rPr>
        <w:t xml:space="preserve">For the 4 day treatment cohort:  P&lt;0.05, vehicle </w:t>
      </w:r>
      <w:r w:rsidR="002D50DA" w:rsidRPr="002D50DA">
        <w:rPr>
          <w:rFonts w:eastAsia="Times New Roman" w:cs="Arial"/>
          <w:i/>
          <w:color w:val="222222"/>
          <w:sz w:val="24"/>
          <w:szCs w:val="24"/>
        </w:rPr>
        <w:t>versus</w:t>
      </w:r>
      <w:r w:rsidR="002D50DA" w:rsidRPr="002D50DA">
        <w:rPr>
          <w:rFonts w:eastAsia="Times New Roman" w:cs="Arial"/>
          <w:color w:val="222222"/>
          <w:sz w:val="24"/>
          <w:szCs w:val="24"/>
        </w:rPr>
        <w:t xml:space="preserve"> </w:t>
      </w:r>
      <w:proofErr w:type="spellStart"/>
      <w:r w:rsidR="002D50DA" w:rsidRPr="002D50DA">
        <w:rPr>
          <w:rFonts w:eastAsia="Times New Roman" w:cs="Arial"/>
          <w:color w:val="222222"/>
          <w:sz w:val="24"/>
          <w:szCs w:val="24"/>
        </w:rPr>
        <w:t>dasatinib</w:t>
      </w:r>
      <w:proofErr w:type="spellEnd"/>
      <w:r w:rsidR="002D50DA" w:rsidRPr="002D50DA">
        <w:rPr>
          <w:rFonts w:eastAsia="Times New Roman" w:cs="Arial"/>
          <w:color w:val="222222"/>
          <w:sz w:val="24"/>
          <w:szCs w:val="24"/>
        </w:rPr>
        <w:t xml:space="preserve">; P&lt;0.05, vehicle </w:t>
      </w:r>
      <w:r w:rsidR="002D50DA" w:rsidRPr="002D50DA">
        <w:rPr>
          <w:rFonts w:eastAsia="Times New Roman" w:cs="Arial"/>
          <w:i/>
          <w:color w:val="222222"/>
          <w:sz w:val="24"/>
          <w:szCs w:val="24"/>
        </w:rPr>
        <w:t>versus</w:t>
      </w:r>
      <w:r w:rsidR="002D50DA" w:rsidRPr="002D50DA">
        <w:rPr>
          <w:rFonts w:eastAsia="Times New Roman" w:cs="Arial"/>
          <w:color w:val="222222"/>
          <w:sz w:val="24"/>
          <w:szCs w:val="24"/>
        </w:rPr>
        <w:t xml:space="preserve"> </w:t>
      </w:r>
      <w:proofErr w:type="spellStart"/>
      <w:r w:rsidR="002D50DA" w:rsidRPr="002D50DA">
        <w:rPr>
          <w:rFonts w:eastAsia="Times New Roman" w:cs="Arial"/>
          <w:color w:val="222222"/>
          <w:sz w:val="24"/>
          <w:szCs w:val="24"/>
        </w:rPr>
        <w:t>rapamycin</w:t>
      </w:r>
      <w:proofErr w:type="spellEnd"/>
      <w:r w:rsidR="002D50DA" w:rsidRPr="002D50DA">
        <w:rPr>
          <w:rFonts w:eastAsia="Times New Roman" w:cs="Arial"/>
          <w:color w:val="222222"/>
          <w:sz w:val="24"/>
          <w:szCs w:val="24"/>
        </w:rPr>
        <w:t xml:space="preserve">; P&lt;0.005, </w:t>
      </w:r>
      <w:proofErr w:type="spellStart"/>
      <w:r w:rsidR="002D50DA" w:rsidRPr="002D50DA">
        <w:rPr>
          <w:rFonts w:eastAsia="Times New Roman" w:cs="Arial"/>
          <w:color w:val="222222"/>
          <w:sz w:val="24"/>
          <w:szCs w:val="24"/>
        </w:rPr>
        <w:t>dasatinib</w:t>
      </w:r>
      <w:proofErr w:type="spellEnd"/>
      <w:r w:rsidR="002D50DA" w:rsidRPr="002D50DA">
        <w:rPr>
          <w:rFonts w:eastAsia="Times New Roman" w:cs="Arial"/>
          <w:color w:val="222222"/>
          <w:sz w:val="24"/>
          <w:szCs w:val="24"/>
        </w:rPr>
        <w:t xml:space="preserve"> </w:t>
      </w:r>
      <w:r w:rsidR="002D50DA" w:rsidRPr="002D50DA">
        <w:rPr>
          <w:rFonts w:eastAsia="Times New Roman" w:cs="Arial"/>
          <w:i/>
          <w:color w:val="222222"/>
          <w:sz w:val="24"/>
          <w:szCs w:val="24"/>
        </w:rPr>
        <w:t>versus</w:t>
      </w:r>
      <w:r w:rsidR="002D50DA" w:rsidRPr="002D50DA">
        <w:rPr>
          <w:rFonts w:eastAsia="Times New Roman" w:cs="Arial"/>
          <w:color w:val="222222"/>
          <w:sz w:val="24"/>
          <w:szCs w:val="24"/>
        </w:rPr>
        <w:t xml:space="preserve"> combination and P&lt;0.005, </w:t>
      </w:r>
      <w:proofErr w:type="spellStart"/>
      <w:r w:rsidR="002D50DA" w:rsidRPr="002D50DA">
        <w:rPr>
          <w:rFonts w:eastAsia="Times New Roman" w:cs="Arial"/>
          <w:color w:val="222222"/>
          <w:sz w:val="24"/>
          <w:szCs w:val="24"/>
        </w:rPr>
        <w:t>rapamycin</w:t>
      </w:r>
      <w:proofErr w:type="spellEnd"/>
      <w:r w:rsidR="002D50DA" w:rsidRPr="002D50DA">
        <w:rPr>
          <w:rFonts w:eastAsia="Times New Roman" w:cs="Arial"/>
          <w:color w:val="222222"/>
          <w:sz w:val="24"/>
          <w:szCs w:val="24"/>
        </w:rPr>
        <w:t xml:space="preserve"> </w:t>
      </w:r>
      <w:r w:rsidR="002D50DA" w:rsidRPr="002D50DA">
        <w:rPr>
          <w:rFonts w:eastAsia="Times New Roman" w:cs="Arial"/>
          <w:i/>
          <w:color w:val="222222"/>
          <w:sz w:val="24"/>
          <w:szCs w:val="24"/>
        </w:rPr>
        <w:t>versus</w:t>
      </w:r>
      <w:r w:rsidR="002D50DA" w:rsidRPr="002D50DA">
        <w:rPr>
          <w:rFonts w:eastAsia="Times New Roman" w:cs="Arial"/>
          <w:color w:val="222222"/>
          <w:sz w:val="24"/>
          <w:szCs w:val="24"/>
        </w:rPr>
        <w:t xml:space="preserve"> combination.  There was no difference in treatment effect between </w:t>
      </w:r>
      <w:proofErr w:type="spellStart"/>
      <w:r w:rsidR="002D50DA" w:rsidRPr="002D50DA">
        <w:rPr>
          <w:rFonts w:eastAsia="Times New Roman" w:cs="Arial"/>
          <w:color w:val="222222"/>
          <w:sz w:val="24"/>
          <w:szCs w:val="24"/>
        </w:rPr>
        <w:t>dasatinib</w:t>
      </w:r>
      <w:proofErr w:type="spellEnd"/>
      <w:r w:rsidR="002D50DA" w:rsidRPr="002D50DA">
        <w:rPr>
          <w:rFonts w:eastAsia="Times New Roman" w:cs="Arial"/>
          <w:color w:val="222222"/>
          <w:sz w:val="24"/>
          <w:szCs w:val="24"/>
        </w:rPr>
        <w:t xml:space="preserve"> and </w:t>
      </w:r>
      <w:proofErr w:type="spellStart"/>
      <w:r w:rsidR="002D50DA" w:rsidRPr="002D50DA">
        <w:rPr>
          <w:rFonts w:eastAsia="Times New Roman" w:cs="Arial"/>
          <w:color w:val="222222"/>
          <w:sz w:val="24"/>
          <w:szCs w:val="24"/>
        </w:rPr>
        <w:t>rapamycin</w:t>
      </w:r>
      <w:proofErr w:type="spellEnd"/>
      <w:r w:rsidR="002D50DA" w:rsidRPr="002D50DA">
        <w:rPr>
          <w:rFonts w:eastAsia="Times New Roman" w:cs="Arial"/>
          <w:color w:val="222222"/>
          <w:sz w:val="24"/>
          <w:szCs w:val="24"/>
        </w:rPr>
        <w:t xml:space="preserve"> treated groups (P=0.82)</w:t>
      </w:r>
      <w:r w:rsidR="002D50DA" w:rsidRPr="00E9249F">
        <w:rPr>
          <w:bCs/>
          <w:sz w:val="24"/>
          <w:szCs w:val="24"/>
        </w:rPr>
        <w:t>.</w:t>
      </w:r>
      <w:r w:rsidR="002D50DA" w:rsidRPr="002D50DA">
        <w:rPr>
          <w:b/>
          <w:bCs/>
          <w:sz w:val="24"/>
          <w:szCs w:val="24"/>
        </w:rPr>
        <w:t xml:space="preserve">  </w:t>
      </w:r>
      <w:r w:rsidR="002D50DA" w:rsidRPr="002D50DA">
        <w:rPr>
          <w:bCs/>
          <w:sz w:val="24"/>
          <w:szCs w:val="24"/>
        </w:rPr>
        <w:t xml:space="preserve">For the 30 day treatment cohort:  P&lt;0.05, </w:t>
      </w:r>
      <w:proofErr w:type="spellStart"/>
      <w:r w:rsidR="002D50DA" w:rsidRPr="002D50DA">
        <w:rPr>
          <w:bCs/>
          <w:sz w:val="24"/>
          <w:szCs w:val="24"/>
        </w:rPr>
        <w:t>dasatinib</w:t>
      </w:r>
      <w:proofErr w:type="spellEnd"/>
      <w:r w:rsidR="002D50DA" w:rsidRPr="002D50DA">
        <w:rPr>
          <w:bCs/>
          <w:sz w:val="24"/>
          <w:szCs w:val="24"/>
        </w:rPr>
        <w:t xml:space="preserve"> </w:t>
      </w:r>
      <w:r w:rsidR="002D50DA" w:rsidRPr="002D50DA">
        <w:rPr>
          <w:bCs/>
          <w:i/>
          <w:sz w:val="24"/>
          <w:szCs w:val="24"/>
        </w:rPr>
        <w:t>versus</w:t>
      </w:r>
      <w:r w:rsidR="002D50DA" w:rsidRPr="002D50DA">
        <w:rPr>
          <w:bCs/>
          <w:sz w:val="24"/>
          <w:szCs w:val="24"/>
        </w:rPr>
        <w:t xml:space="preserve"> combination and P&lt;0.005, </w:t>
      </w:r>
      <w:proofErr w:type="spellStart"/>
      <w:r w:rsidR="002D50DA" w:rsidRPr="002D50DA">
        <w:rPr>
          <w:bCs/>
          <w:sz w:val="24"/>
          <w:szCs w:val="24"/>
        </w:rPr>
        <w:t>rapamycin</w:t>
      </w:r>
      <w:proofErr w:type="spellEnd"/>
      <w:r w:rsidR="002D50DA" w:rsidRPr="002D50DA">
        <w:rPr>
          <w:bCs/>
          <w:sz w:val="24"/>
          <w:szCs w:val="24"/>
        </w:rPr>
        <w:t xml:space="preserve"> </w:t>
      </w:r>
      <w:r w:rsidR="002D50DA" w:rsidRPr="002D50DA">
        <w:rPr>
          <w:bCs/>
          <w:i/>
          <w:sz w:val="24"/>
          <w:szCs w:val="24"/>
        </w:rPr>
        <w:t>versus</w:t>
      </w:r>
      <w:r w:rsidR="002D50DA" w:rsidRPr="002D50DA">
        <w:rPr>
          <w:bCs/>
          <w:sz w:val="24"/>
          <w:szCs w:val="24"/>
        </w:rPr>
        <w:t xml:space="preserve"> combination.  There was no difference in treatment effect between the </w:t>
      </w:r>
      <w:proofErr w:type="spellStart"/>
      <w:r w:rsidR="002D50DA" w:rsidRPr="002D50DA">
        <w:rPr>
          <w:bCs/>
          <w:sz w:val="24"/>
          <w:szCs w:val="24"/>
        </w:rPr>
        <w:t>dasatinib</w:t>
      </w:r>
      <w:proofErr w:type="spellEnd"/>
      <w:r w:rsidR="002D50DA" w:rsidRPr="002D50DA">
        <w:rPr>
          <w:bCs/>
          <w:sz w:val="24"/>
          <w:szCs w:val="24"/>
        </w:rPr>
        <w:t xml:space="preserve"> and </w:t>
      </w:r>
      <w:proofErr w:type="spellStart"/>
      <w:r w:rsidR="002D50DA" w:rsidRPr="002D50DA">
        <w:rPr>
          <w:bCs/>
          <w:sz w:val="24"/>
          <w:szCs w:val="24"/>
        </w:rPr>
        <w:t>rapamycin</w:t>
      </w:r>
      <w:proofErr w:type="spellEnd"/>
      <w:r w:rsidR="002D50DA" w:rsidRPr="002D50DA">
        <w:rPr>
          <w:bCs/>
          <w:sz w:val="24"/>
          <w:szCs w:val="24"/>
        </w:rPr>
        <w:t xml:space="preserve"> treated groups (P=0.50).</w:t>
      </w:r>
    </w:p>
    <w:p w:rsidR="00CE7E43" w:rsidRDefault="00CE7E43" w:rsidP="00CE7E43">
      <w:pPr>
        <w:spacing w:line="480" w:lineRule="auto"/>
        <w:jc w:val="both"/>
        <w:rPr>
          <w:rFonts w:eastAsia="Times New Roman" w:cs="Arial"/>
          <w:color w:val="222222"/>
          <w:sz w:val="24"/>
          <w:szCs w:val="24"/>
        </w:rPr>
      </w:pPr>
      <w:proofErr w:type="gramStart"/>
      <w:r>
        <w:rPr>
          <w:b/>
          <w:sz w:val="24"/>
          <w:szCs w:val="24"/>
        </w:rPr>
        <w:lastRenderedPageBreak/>
        <w:t>Supplementary Figure S</w:t>
      </w:r>
      <w:r w:rsidR="00E03E51">
        <w:rPr>
          <w:b/>
          <w:sz w:val="24"/>
          <w:szCs w:val="24"/>
        </w:rPr>
        <w:t>7</w:t>
      </w:r>
      <w:r>
        <w:rPr>
          <w:b/>
          <w:sz w:val="24"/>
          <w:szCs w:val="24"/>
        </w:rPr>
        <w:t>.</w:t>
      </w:r>
      <w:proofErr w:type="gramEnd"/>
      <w:r>
        <w:rPr>
          <w:b/>
          <w:sz w:val="24"/>
          <w:szCs w:val="24"/>
        </w:rPr>
        <w:t xml:space="preserve">  </w:t>
      </w:r>
      <w:proofErr w:type="spellStart"/>
      <w:proofErr w:type="gramStart"/>
      <w:r w:rsidRPr="002E4653">
        <w:rPr>
          <w:b/>
          <w:sz w:val="24"/>
          <w:szCs w:val="24"/>
        </w:rPr>
        <w:t>Immunohistochemical</w:t>
      </w:r>
      <w:proofErr w:type="spellEnd"/>
      <w:r w:rsidRPr="002E4653">
        <w:rPr>
          <w:b/>
          <w:sz w:val="24"/>
          <w:szCs w:val="24"/>
        </w:rPr>
        <w:t xml:space="preserve"> analysis of target inhibition by </w:t>
      </w:r>
      <w:proofErr w:type="spellStart"/>
      <w:r w:rsidRPr="002E4653">
        <w:rPr>
          <w:b/>
          <w:sz w:val="24"/>
          <w:szCs w:val="24"/>
        </w:rPr>
        <w:t>rapamycin</w:t>
      </w:r>
      <w:proofErr w:type="spellEnd"/>
      <w:r w:rsidRPr="002E4653">
        <w:rPr>
          <w:b/>
          <w:sz w:val="24"/>
          <w:szCs w:val="24"/>
        </w:rPr>
        <w:t xml:space="preserve"> (p-S6) and </w:t>
      </w:r>
      <w:proofErr w:type="spellStart"/>
      <w:r w:rsidRPr="002E4653">
        <w:rPr>
          <w:b/>
          <w:sz w:val="24"/>
          <w:szCs w:val="24"/>
        </w:rPr>
        <w:t>dasatinib</w:t>
      </w:r>
      <w:proofErr w:type="spellEnd"/>
      <w:r w:rsidRPr="002E4653">
        <w:rPr>
          <w:b/>
          <w:sz w:val="24"/>
          <w:szCs w:val="24"/>
        </w:rPr>
        <w:t xml:space="preserve"> (p-</w:t>
      </w:r>
      <w:proofErr w:type="spellStart"/>
      <w:r w:rsidRPr="002E4653">
        <w:rPr>
          <w:b/>
          <w:sz w:val="24"/>
          <w:szCs w:val="24"/>
        </w:rPr>
        <w:t>Src</w:t>
      </w:r>
      <w:proofErr w:type="spellEnd"/>
      <w:r w:rsidRPr="002E4653">
        <w:rPr>
          <w:b/>
          <w:sz w:val="24"/>
          <w:szCs w:val="24"/>
        </w:rPr>
        <w:t>) in MMTV-</w:t>
      </w:r>
      <w:proofErr w:type="spellStart"/>
      <w:r w:rsidRPr="002E4653">
        <w:rPr>
          <w:b/>
          <w:sz w:val="24"/>
          <w:szCs w:val="24"/>
        </w:rPr>
        <w:t>PyMT</w:t>
      </w:r>
      <w:proofErr w:type="spellEnd"/>
      <w:r w:rsidRPr="002E4653">
        <w:rPr>
          <w:b/>
          <w:sz w:val="24"/>
          <w:szCs w:val="24"/>
        </w:rPr>
        <w:t xml:space="preserve"> tumor sections.</w:t>
      </w:r>
      <w:proofErr w:type="gramEnd"/>
      <w:r>
        <w:rPr>
          <w:b/>
        </w:rPr>
        <w:t xml:space="preserve">  </w:t>
      </w:r>
      <w:r>
        <w:rPr>
          <w:sz w:val="24"/>
          <w:szCs w:val="24"/>
        </w:rPr>
        <w:t xml:space="preserve">Representative </w:t>
      </w:r>
      <w:proofErr w:type="spellStart"/>
      <w:r>
        <w:rPr>
          <w:rFonts w:eastAsia="Times New Roman" w:cs="Arial"/>
          <w:color w:val="222222"/>
          <w:sz w:val="24"/>
          <w:szCs w:val="24"/>
        </w:rPr>
        <w:t>Hematoxylin</w:t>
      </w:r>
      <w:proofErr w:type="spellEnd"/>
      <w:r>
        <w:rPr>
          <w:rFonts w:eastAsia="Times New Roman" w:cs="Arial"/>
          <w:color w:val="222222"/>
          <w:sz w:val="24"/>
          <w:szCs w:val="24"/>
        </w:rPr>
        <w:t xml:space="preserve"> and Eosin (</w:t>
      </w:r>
      <w:r w:rsidRPr="003C72AF">
        <w:rPr>
          <w:rFonts w:eastAsia="Times New Roman" w:cs="Arial"/>
          <w:color w:val="222222"/>
          <w:sz w:val="24"/>
          <w:szCs w:val="24"/>
        </w:rPr>
        <w:t>H&amp;E</w:t>
      </w:r>
      <w:r>
        <w:rPr>
          <w:rFonts w:eastAsia="Times New Roman" w:cs="Arial"/>
          <w:color w:val="222222"/>
          <w:sz w:val="24"/>
          <w:szCs w:val="24"/>
        </w:rPr>
        <w:t>) stained t</w:t>
      </w:r>
      <w:r w:rsidRPr="003C72AF">
        <w:rPr>
          <w:rFonts w:eastAsia="Times New Roman" w:cs="Arial"/>
          <w:color w:val="222222"/>
          <w:sz w:val="24"/>
          <w:szCs w:val="24"/>
        </w:rPr>
        <w:t xml:space="preserve">umor sections from mice treated </w:t>
      </w:r>
      <w:r>
        <w:rPr>
          <w:rFonts w:eastAsia="Times New Roman" w:cs="Arial"/>
          <w:color w:val="222222"/>
          <w:sz w:val="24"/>
          <w:szCs w:val="24"/>
        </w:rPr>
        <w:t>in Figure 2</w:t>
      </w:r>
      <w:r w:rsidRPr="003C72AF">
        <w:rPr>
          <w:rFonts w:eastAsia="Times New Roman" w:cs="Arial"/>
          <w:color w:val="222222"/>
          <w:sz w:val="24"/>
          <w:szCs w:val="24"/>
        </w:rPr>
        <w:t xml:space="preserve"> for 15 days (vehicle) or 30 days (</w:t>
      </w:r>
      <w:proofErr w:type="spellStart"/>
      <w:r w:rsidRPr="003C72AF">
        <w:rPr>
          <w:rFonts w:eastAsia="Times New Roman" w:cs="Arial"/>
          <w:color w:val="222222"/>
          <w:sz w:val="24"/>
          <w:szCs w:val="24"/>
        </w:rPr>
        <w:t>dasatinib</w:t>
      </w:r>
      <w:proofErr w:type="spellEnd"/>
      <w:r w:rsidRPr="003C72AF">
        <w:rPr>
          <w:rFonts w:eastAsia="Times New Roman" w:cs="Arial"/>
          <w:color w:val="222222"/>
          <w:sz w:val="24"/>
          <w:szCs w:val="24"/>
        </w:rPr>
        <w:t xml:space="preserve"> alone, </w:t>
      </w:r>
      <w:proofErr w:type="spellStart"/>
      <w:r w:rsidRPr="003C72AF">
        <w:rPr>
          <w:rFonts w:eastAsia="Times New Roman" w:cs="Arial"/>
          <w:color w:val="222222"/>
          <w:sz w:val="24"/>
          <w:szCs w:val="24"/>
        </w:rPr>
        <w:t>rapamycin</w:t>
      </w:r>
      <w:proofErr w:type="spellEnd"/>
      <w:r w:rsidRPr="003C72AF">
        <w:rPr>
          <w:rFonts w:eastAsia="Times New Roman" w:cs="Arial"/>
          <w:color w:val="222222"/>
          <w:sz w:val="24"/>
          <w:szCs w:val="24"/>
        </w:rPr>
        <w:t xml:space="preserve"> alone and combination </w:t>
      </w:r>
      <w:proofErr w:type="spellStart"/>
      <w:r w:rsidRPr="003C72AF">
        <w:rPr>
          <w:rFonts w:eastAsia="Times New Roman" w:cs="Arial"/>
          <w:color w:val="222222"/>
          <w:sz w:val="24"/>
          <w:szCs w:val="24"/>
        </w:rPr>
        <w:t>dasatinib</w:t>
      </w:r>
      <w:proofErr w:type="spellEnd"/>
      <w:r w:rsidRPr="003C72AF">
        <w:rPr>
          <w:rFonts w:eastAsia="Times New Roman" w:cs="Arial"/>
          <w:color w:val="222222"/>
          <w:sz w:val="24"/>
          <w:szCs w:val="24"/>
        </w:rPr>
        <w:t xml:space="preserve"> +</w:t>
      </w:r>
      <w:r>
        <w:rPr>
          <w:rFonts w:eastAsia="Times New Roman" w:cs="Arial"/>
          <w:color w:val="222222"/>
          <w:sz w:val="24"/>
          <w:szCs w:val="24"/>
        </w:rPr>
        <w:t xml:space="preserve"> </w:t>
      </w:r>
      <w:proofErr w:type="spellStart"/>
      <w:r>
        <w:rPr>
          <w:rFonts w:eastAsia="Times New Roman" w:cs="Arial"/>
          <w:color w:val="222222"/>
          <w:sz w:val="24"/>
          <w:szCs w:val="24"/>
        </w:rPr>
        <w:t>rapamycin</w:t>
      </w:r>
      <w:proofErr w:type="spellEnd"/>
      <w:r>
        <w:rPr>
          <w:rFonts w:eastAsia="Times New Roman" w:cs="Arial"/>
          <w:color w:val="222222"/>
          <w:sz w:val="24"/>
          <w:szCs w:val="24"/>
        </w:rPr>
        <w:t xml:space="preserve">).  </w:t>
      </w:r>
      <w:r w:rsidRPr="003C72AF">
        <w:rPr>
          <w:rFonts w:eastAsia="Times New Roman" w:cs="Arial"/>
          <w:color w:val="222222"/>
          <w:sz w:val="24"/>
          <w:szCs w:val="24"/>
        </w:rPr>
        <w:t>Immunohistochemistry using antibodies against p-</w:t>
      </w:r>
      <w:proofErr w:type="spellStart"/>
      <w:r w:rsidRPr="003C72AF">
        <w:rPr>
          <w:rFonts w:eastAsia="Times New Roman" w:cs="Arial"/>
          <w:color w:val="222222"/>
          <w:sz w:val="24"/>
          <w:szCs w:val="24"/>
        </w:rPr>
        <w:t>Src</w:t>
      </w:r>
      <w:proofErr w:type="spellEnd"/>
      <w:r>
        <w:rPr>
          <w:rFonts w:eastAsia="Times New Roman" w:cs="Arial"/>
          <w:color w:val="222222"/>
          <w:sz w:val="24"/>
          <w:szCs w:val="24"/>
        </w:rPr>
        <w:t xml:space="preserve"> (middle panels)</w:t>
      </w:r>
      <w:r w:rsidRPr="003C72AF">
        <w:rPr>
          <w:rFonts w:eastAsia="Times New Roman" w:cs="Arial"/>
          <w:color w:val="222222"/>
          <w:sz w:val="24"/>
          <w:szCs w:val="24"/>
        </w:rPr>
        <w:t xml:space="preserve"> and p-S6</w:t>
      </w:r>
      <w:r>
        <w:rPr>
          <w:rFonts w:eastAsia="Times New Roman" w:cs="Arial"/>
          <w:color w:val="222222"/>
          <w:sz w:val="24"/>
          <w:szCs w:val="24"/>
        </w:rPr>
        <w:t xml:space="preserve"> (bottom panels) </w:t>
      </w:r>
      <w:r w:rsidRPr="003C72AF">
        <w:rPr>
          <w:rFonts w:eastAsia="Times New Roman" w:cs="Arial"/>
          <w:color w:val="222222"/>
          <w:sz w:val="24"/>
          <w:szCs w:val="24"/>
        </w:rPr>
        <w:t>was performed on tumor sections</w:t>
      </w:r>
      <w:r>
        <w:rPr>
          <w:rFonts w:eastAsia="Times New Roman" w:cs="Arial"/>
          <w:color w:val="222222"/>
          <w:sz w:val="24"/>
          <w:szCs w:val="24"/>
        </w:rPr>
        <w:t xml:space="preserve"> </w:t>
      </w:r>
      <w:r w:rsidRPr="003C72AF">
        <w:rPr>
          <w:rFonts w:eastAsia="Times New Roman" w:cs="Arial"/>
          <w:color w:val="222222"/>
          <w:sz w:val="24"/>
          <w:szCs w:val="24"/>
        </w:rPr>
        <w:t xml:space="preserve">to confirm inhibition of </w:t>
      </w:r>
      <w:proofErr w:type="spellStart"/>
      <w:r w:rsidRPr="003C72AF">
        <w:rPr>
          <w:rFonts w:eastAsia="Times New Roman" w:cs="Arial"/>
          <w:color w:val="222222"/>
          <w:sz w:val="24"/>
          <w:szCs w:val="24"/>
        </w:rPr>
        <w:t>dasatinib</w:t>
      </w:r>
      <w:proofErr w:type="spellEnd"/>
      <w:r w:rsidRPr="003C72AF">
        <w:rPr>
          <w:rFonts w:eastAsia="Times New Roman" w:cs="Arial"/>
          <w:color w:val="222222"/>
          <w:sz w:val="24"/>
          <w:szCs w:val="24"/>
        </w:rPr>
        <w:t xml:space="preserve"> and </w:t>
      </w:r>
      <w:proofErr w:type="spellStart"/>
      <w:r w:rsidRPr="003C72AF">
        <w:rPr>
          <w:rFonts w:eastAsia="Times New Roman" w:cs="Arial"/>
          <w:color w:val="222222"/>
          <w:sz w:val="24"/>
          <w:szCs w:val="24"/>
        </w:rPr>
        <w:t>rapamycin</w:t>
      </w:r>
      <w:proofErr w:type="spellEnd"/>
      <w:r w:rsidRPr="003C72AF">
        <w:rPr>
          <w:rFonts w:eastAsia="Times New Roman" w:cs="Arial"/>
          <w:color w:val="222222"/>
          <w:sz w:val="24"/>
          <w:szCs w:val="24"/>
        </w:rPr>
        <w:t xml:space="preserve"> targets, respectively.</w:t>
      </w:r>
      <w:r>
        <w:rPr>
          <w:rFonts w:eastAsia="Times New Roman" w:cs="Arial"/>
          <w:color w:val="222222"/>
          <w:sz w:val="24"/>
          <w:szCs w:val="24"/>
        </w:rPr>
        <w:t xml:space="preserve">  Images were acquired at 10x magnification.  </w:t>
      </w:r>
    </w:p>
    <w:p w:rsidR="001E4B2B" w:rsidRPr="00CE7E43" w:rsidRDefault="00507A9E" w:rsidP="0080055E">
      <w:pPr>
        <w:spacing w:line="480" w:lineRule="auto"/>
        <w:rPr>
          <w:sz w:val="24"/>
          <w:szCs w:val="24"/>
        </w:rPr>
      </w:pPr>
      <w:proofErr w:type="gramStart"/>
      <w:r w:rsidRPr="00CE7E43">
        <w:rPr>
          <w:rFonts w:eastAsia="Times New Roman" w:cs="Arial"/>
          <w:b/>
          <w:sz w:val="24"/>
          <w:szCs w:val="24"/>
        </w:rPr>
        <w:t>Supplemental Figure S</w:t>
      </w:r>
      <w:r w:rsidR="00E03E51">
        <w:rPr>
          <w:rFonts w:eastAsia="Times New Roman" w:cs="Arial"/>
          <w:b/>
          <w:sz w:val="24"/>
          <w:szCs w:val="24"/>
        </w:rPr>
        <w:t>8</w:t>
      </w:r>
      <w:r w:rsidR="00AB22F0" w:rsidRPr="00CE7E43">
        <w:rPr>
          <w:rFonts w:eastAsia="Times New Roman" w:cs="Arial"/>
          <w:b/>
          <w:sz w:val="24"/>
          <w:szCs w:val="24"/>
        </w:rPr>
        <w:t>.</w:t>
      </w:r>
      <w:proofErr w:type="gramEnd"/>
      <w:r w:rsidR="00AB22F0" w:rsidRPr="00CE7E43">
        <w:rPr>
          <w:rFonts w:eastAsia="Times New Roman" w:cs="Arial"/>
          <w:b/>
          <w:sz w:val="24"/>
          <w:szCs w:val="24"/>
        </w:rPr>
        <w:t xml:space="preserve">   </w:t>
      </w:r>
      <w:proofErr w:type="spellStart"/>
      <w:r w:rsidR="00AB22F0" w:rsidRPr="00CE7E43">
        <w:rPr>
          <w:rFonts w:eastAsia="Times New Roman" w:cs="Arial"/>
          <w:b/>
          <w:sz w:val="24"/>
          <w:szCs w:val="24"/>
        </w:rPr>
        <w:t>Dasatinib</w:t>
      </w:r>
      <w:proofErr w:type="spellEnd"/>
      <w:r w:rsidR="00AB22F0" w:rsidRPr="00CE7E43">
        <w:rPr>
          <w:rFonts w:eastAsia="Times New Roman" w:cs="Arial"/>
          <w:b/>
          <w:sz w:val="24"/>
          <w:szCs w:val="24"/>
        </w:rPr>
        <w:t xml:space="preserve"> inhibits </w:t>
      </w:r>
      <w:r w:rsidR="000B0278" w:rsidRPr="00CE7E43">
        <w:rPr>
          <w:rFonts w:eastAsia="Times New Roman" w:cs="Arial"/>
          <w:b/>
          <w:sz w:val="24"/>
          <w:szCs w:val="24"/>
        </w:rPr>
        <w:t>pulmonary</w:t>
      </w:r>
      <w:r w:rsidR="00AB22F0" w:rsidRPr="00CE7E43">
        <w:rPr>
          <w:rFonts w:eastAsia="Times New Roman" w:cs="Arial"/>
          <w:b/>
          <w:sz w:val="24"/>
          <w:szCs w:val="24"/>
        </w:rPr>
        <w:t xml:space="preserve"> metastases in MMTV-PYMT tumor bearing mice. </w:t>
      </w:r>
      <w:r w:rsidR="000B0278" w:rsidRPr="00CE7E43">
        <w:rPr>
          <w:rFonts w:eastAsia="Times New Roman" w:cs="Arial"/>
          <w:b/>
          <w:sz w:val="24"/>
          <w:szCs w:val="24"/>
        </w:rPr>
        <w:t xml:space="preserve"> </w:t>
      </w:r>
      <w:r w:rsidR="000B0278" w:rsidRPr="00CE7E43">
        <w:rPr>
          <w:rFonts w:eastAsia="Times New Roman" w:cs="Arial"/>
          <w:sz w:val="24"/>
          <w:szCs w:val="24"/>
        </w:rPr>
        <w:t>Lung</w:t>
      </w:r>
      <w:r w:rsidR="00AB22F0" w:rsidRPr="00CE7E43">
        <w:rPr>
          <w:rFonts w:eastAsia="Times New Roman" w:cs="Arial"/>
          <w:sz w:val="24"/>
          <w:szCs w:val="24"/>
        </w:rPr>
        <w:t xml:space="preserve"> metastases were visualized and quantified using </w:t>
      </w:r>
      <w:proofErr w:type="spellStart"/>
      <w:r w:rsidR="00AB22F0" w:rsidRPr="00CE7E43">
        <w:rPr>
          <w:rFonts w:eastAsia="Times New Roman" w:cs="Arial"/>
          <w:sz w:val="24"/>
          <w:szCs w:val="24"/>
        </w:rPr>
        <w:t>Hematoxylin</w:t>
      </w:r>
      <w:proofErr w:type="spellEnd"/>
      <w:r w:rsidR="00AB22F0" w:rsidRPr="00CE7E43">
        <w:rPr>
          <w:rFonts w:eastAsia="Times New Roman" w:cs="Arial"/>
          <w:sz w:val="24"/>
          <w:szCs w:val="24"/>
        </w:rPr>
        <w:t xml:space="preserve"> and Eosin (H&amp;E) stained lung sections (3 sections per lung) from </w:t>
      </w:r>
      <w:proofErr w:type="spellStart"/>
      <w:r w:rsidR="00AB22F0" w:rsidRPr="00CE7E43">
        <w:rPr>
          <w:rFonts w:eastAsia="Times New Roman" w:cs="Arial"/>
          <w:sz w:val="24"/>
          <w:szCs w:val="24"/>
        </w:rPr>
        <w:t>PyMT</w:t>
      </w:r>
      <w:proofErr w:type="spellEnd"/>
      <w:r w:rsidR="00AB22F0" w:rsidRPr="00CE7E43">
        <w:rPr>
          <w:rFonts w:eastAsia="Times New Roman" w:cs="Arial"/>
          <w:sz w:val="24"/>
          <w:szCs w:val="24"/>
        </w:rPr>
        <w:t xml:space="preserve"> tumor-bearing mice following treatment with vehicle (15 days), </w:t>
      </w:r>
      <w:proofErr w:type="spellStart"/>
      <w:r w:rsidR="00AB22F0" w:rsidRPr="00CE7E43">
        <w:rPr>
          <w:rFonts w:eastAsia="Times New Roman" w:cs="Arial"/>
          <w:sz w:val="24"/>
          <w:szCs w:val="24"/>
        </w:rPr>
        <w:t>dasatinib</w:t>
      </w:r>
      <w:proofErr w:type="spellEnd"/>
      <w:r w:rsidR="00AB22F0" w:rsidRPr="00CE7E43">
        <w:rPr>
          <w:rFonts w:eastAsia="Times New Roman" w:cs="Arial"/>
          <w:sz w:val="24"/>
          <w:szCs w:val="24"/>
        </w:rPr>
        <w:t xml:space="preserve">, </w:t>
      </w:r>
      <w:proofErr w:type="spellStart"/>
      <w:r w:rsidR="00AB22F0" w:rsidRPr="00CE7E43">
        <w:rPr>
          <w:rFonts w:eastAsia="Times New Roman" w:cs="Arial"/>
          <w:sz w:val="24"/>
          <w:szCs w:val="24"/>
        </w:rPr>
        <w:t>rapamycin</w:t>
      </w:r>
      <w:proofErr w:type="spellEnd"/>
      <w:r w:rsidR="00AB22F0" w:rsidRPr="00CE7E43">
        <w:rPr>
          <w:rFonts w:eastAsia="Times New Roman" w:cs="Arial"/>
          <w:sz w:val="24"/>
          <w:szCs w:val="24"/>
        </w:rPr>
        <w:t xml:space="preserve"> or </w:t>
      </w:r>
      <w:proofErr w:type="spellStart"/>
      <w:r w:rsidR="00AB22F0" w:rsidRPr="00CE7E43">
        <w:rPr>
          <w:rFonts w:eastAsia="Times New Roman" w:cs="Arial"/>
          <w:sz w:val="24"/>
          <w:szCs w:val="24"/>
        </w:rPr>
        <w:t>dasatinib</w:t>
      </w:r>
      <w:proofErr w:type="spellEnd"/>
      <w:r w:rsidR="00AB22F0" w:rsidRPr="00CE7E43">
        <w:rPr>
          <w:rFonts w:eastAsia="Times New Roman" w:cs="Arial"/>
          <w:sz w:val="24"/>
          <w:szCs w:val="24"/>
        </w:rPr>
        <w:t xml:space="preserve"> plus </w:t>
      </w:r>
      <w:proofErr w:type="spellStart"/>
      <w:r w:rsidR="00AB22F0" w:rsidRPr="00CE7E43">
        <w:rPr>
          <w:rFonts w:eastAsia="Times New Roman" w:cs="Arial"/>
          <w:sz w:val="24"/>
          <w:szCs w:val="24"/>
        </w:rPr>
        <w:t>rapamycin</w:t>
      </w:r>
      <w:proofErr w:type="spellEnd"/>
      <w:r w:rsidR="00AB22F0" w:rsidRPr="00CE7E43">
        <w:rPr>
          <w:rFonts w:eastAsia="Times New Roman" w:cs="Arial"/>
          <w:sz w:val="24"/>
          <w:szCs w:val="24"/>
        </w:rPr>
        <w:t xml:space="preserve"> (combo) (30 days) (n=5-10 mice per group)  *P&lt;0.0001 for </w:t>
      </w:r>
      <w:proofErr w:type="spellStart"/>
      <w:r w:rsidR="00AB22F0" w:rsidRPr="00CE7E43">
        <w:rPr>
          <w:rFonts w:eastAsia="Times New Roman" w:cs="Arial"/>
          <w:sz w:val="24"/>
          <w:szCs w:val="24"/>
        </w:rPr>
        <w:t>dasatinib</w:t>
      </w:r>
      <w:proofErr w:type="spellEnd"/>
      <w:r w:rsidR="00AB22F0" w:rsidRPr="00CE7E43">
        <w:rPr>
          <w:rFonts w:eastAsia="Times New Roman" w:cs="Arial"/>
          <w:sz w:val="24"/>
          <w:szCs w:val="24"/>
        </w:rPr>
        <w:t xml:space="preserve"> or combination </w:t>
      </w:r>
      <w:r w:rsidR="00AB22F0" w:rsidRPr="00CE7E43">
        <w:rPr>
          <w:rFonts w:eastAsia="Times New Roman" w:cs="Arial"/>
          <w:i/>
          <w:sz w:val="24"/>
          <w:szCs w:val="24"/>
        </w:rPr>
        <w:t>versus</w:t>
      </w:r>
      <w:r w:rsidR="00AB22F0" w:rsidRPr="00CE7E43">
        <w:rPr>
          <w:rFonts w:eastAsia="Times New Roman" w:cs="Arial"/>
          <w:sz w:val="24"/>
          <w:szCs w:val="24"/>
        </w:rPr>
        <w:t xml:space="preserve"> vehicle or </w:t>
      </w:r>
      <w:proofErr w:type="spellStart"/>
      <w:r w:rsidR="00AB22F0" w:rsidRPr="00CE7E43">
        <w:rPr>
          <w:rFonts w:eastAsia="Times New Roman" w:cs="Arial"/>
          <w:sz w:val="24"/>
          <w:szCs w:val="24"/>
        </w:rPr>
        <w:t>rapamycin</w:t>
      </w:r>
      <w:proofErr w:type="spellEnd"/>
      <w:r w:rsidR="00AB22F0" w:rsidRPr="00CE7E43">
        <w:rPr>
          <w:rFonts w:eastAsia="Times New Roman" w:cs="Arial"/>
          <w:sz w:val="24"/>
          <w:szCs w:val="24"/>
        </w:rPr>
        <w:t xml:space="preserve">.  </w:t>
      </w:r>
      <w:r w:rsidR="00AB22F0" w:rsidRPr="00CE7E43">
        <w:rPr>
          <w:rFonts w:eastAsia="Times New Roman" w:cs="Arial"/>
          <w:sz w:val="24"/>
          <w:szCs w:val="24"/>
          <w:vertAlign w:val="superscript"/>
        </w:rPr>
        <w:t>#</w:t>
      </w:r>
      <w:r w:rsidR="00AB22F0" w:rsidRPr="00CE7E43">
        <w:rPr>
          <w:rFonts w:eastAsia="Times New Roman" w:cs="Arial"/>
          <w:sz w:val="24"/>
          <w:szCs w:val="24"/>
        </w:rPr>
        <w:t xml:space="preserve">P=0.039 for </w:t>
      </w:r>
      <w:proofErr w:type="spellStart"/>
      <w:r w:rsidR="00AB22F0" w:rsidRPr="00CE7E43">
        <w:rPr>
          <w:rFonts w:eastAsia="Times New Roman" w:cs="Arial"/>
          <w:sz w:val="24"/>
          <w:szCs w:val="24"/>
        </w:rPr>
        <w:t>rapamycin</w:t>
      </w:r>
      <w:proofErr w:type="spellEnd"/>
      <w:r w:rsidR="00AB22F0" w:rsidRPr="00CE7E43">
        <w:rPr>
          <w:rFonts w:eastAsia="Times New Roman" w:cs="Arial"/>
          <w:sz w:val="24"/>
          <w:szCs w:val="24"/>
        </w:rPr>
        <w:t xml:space="preserve"> </w:t>
      </w:r>
      <w:r w:rsidR="00AB22F0" w:rsidRPr="00CE7E43">
        <w:rPr>
          <w:rFonts w:eastAsia="Times New Roman" w:cs="Arial"/>
          <w:i/>
          <w:sz w:val="24"/>
          <w:szCs w:val="24"/>
        </w:rPr>
        <w:t>versus</w:t>
      </w:r>
      <w:r w:rsidR="00AB22F0" w:rsidRPr="00CE7E43">
        <w:rPr>
          <w:rFonts w:eastAsia="Times New Roman" w:cs="Arial"/>
          <w:sz w:val="24"/>
          <w:szCs w:val="24"/>
        </w:rPr>
        <w:t xml:space="preserve"> vehicle. </w:t>
      </w:r>
      <w:r w:rsidRPr="00CE7E43">
        <w:rPr>
          <w:rFonts w:eastAsia="Times New Roman" w:cs="Arial"/>
          <w:sz w:val="24"/>
          <w:szCs w:val="24"/>
        </w:rPr>
        <w:t xml:space="preserve"> There is no difference between </w:t>
      </w:r>
      <w:proofErr w:type="spellStart"/>
      <w:r w:rsidR="00AB22F0" w:rsidRPr="00CE7E43">
        <w:rPr>
          <w:rFonts w:eastAsia="Times New Roman" w:cs="Arial"/>
          <w:sz w:val="24"/>
          <w:szCs w:val="24"/>
        </w:rPr>
        <w:t>dasatinib</w:t>
      </w:r>
      <w:proofErr w:type="spellEnd"/>
      <w:r w:rsidR="00AB22F0" w:rsidRPr="00CE7E43">
        <w:rPr>
          <w:rFonts w:eastAsia="Times New Roman" w:cs="Arial"/>
          <w:sz w:val="24"/>
          <w:szCs w:val="24"/>
        </w:rPr>
        <w:t xml:space="preserve"> and combination-treated groups (P=0.07). Error bars indicate ±SD.</w:t>
      </w:r>
    </w:p>
    <w:sectPr w:rsidR="001E4B2B" w:rsidRPr="00CE7E43" w:rsidSect="00F06BA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2C" w:rsidRDefault="004A562C" w:rsidP="00F06BA4">
      <w:pPr>
        <w:spacing w:after="0" w:line="240" w:lineRule="auto"/>
      </w:pPr>
      <w:r>
        <w:separator/>
      </w:r>
    </w:p>
  </w:endnote>
  <w:endnote w:type="continuationSeparator" w:id="0">
    <w:p w:rsidR="004A562C" w:rsidRDefault="004A562C" w:rsidP="00F0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930430"/>
      <w:docPartObj>
        <w:docPartGallery w:val="Page Numbers (Bottom of Page)"/>
        <w:docPartUnique/>
      </w:docPartObj>
    </w:sdtPr>
    <w:sdtEndPr>
      <w:rPr>
        <w:noProof/>
      </w:rPr>
    </w:sdtEndPr>
    <w:sdtContent>
      <w:p w:rsidR="007438B3" w:rsidRDefault="007438B3">
        <w:pPr>
          <w:pStyle w:val="Footer"/>
          <w:jc w:val="center"/>
        </w:pPr>
        <w:r>
          <w:fldChar w:fldCharType="begin"/>
        </w:r>
        <w:r>
          <w:instrText xml:space="preserve"> PAGE   \* MERGEFORMAT </w:instrText>
        </w:r>
        <w:r>
          <w:fldChar w:fldCharType="separate"/>
        </w:r>
        <w:r w:rsidR="00073590">
          <w:rPr>
            <w:noProof/>
          </w:rPr>
          <w:t>2</w:t>
        </w:r>
        <w:r>
          <w:rPr>
            <w:noProof/>
          </w:rPr>
          <w:fldChar w:fldCharType="end"/>
        </w:r>
      </w:p>
    </w:sdtContent>
  </w:sdt>
  <w:p w:rsidR="007438B3" w:rsidRDefault="00743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166200"/>
      <w:docPartObj>
        <w:docPartGallery w:val="Page Numbers (Bottom of Page)"/>
        <w:docPartUnique/>
      </w:docPartObj>
    </w:sdtPr>
    <w:sdtEndPr>
      <w:rPr>
        <w:noProof/>
      </w:rPr>
    </w:sdtEndPr>
    <w:sdtContent>
      <w:p w:rsidR="00B456D9" w:rsidRDefault="00B456D9">
        <w:pPr>
          <w:pStyle w:val="Footer"/>
          <w:jc w:val="center"/>
        </w:pPr>
        <w:r>
          <w:fldChar w:fldCharType="begin"/>
        </w:r>
        <w:r>
          <w:instrText xml:space="preserve"> PAGE   \* MERGEFORMAT </w:instrText>
        </w:r>
        <w:r>
          <w:fldChar w:fldCharType="separate"/>
        </w:r>
        <w:r w:rsidR="00354CC8">
          <w:rPr>
            <w:noProof/>
          </w:rPr>
          <w:t>1</w:t>
        </w:r>
        <w:r>
          <w:rPr>
            <w:noProof/>
          </w:rPr>
          <w:fldChar w:fldCharType="end"/>
        </w:r>
      </w:p>
    </w:sdtContent>
  </w:sdt>
  <w:p w:rsidR="003D0E08" w:rsidRDefault="003D0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2C" w:rsidRDefault="004A562C" w:rsidP="00F06BA4">
      <w:pPr>
        <w:spacing w:after="0" w:line="240" w:lineRule="auto"/>
      </w:pPr>
      <w:r>
        <w:separator/>
      </w:r>
    </w:p>
  </w:footnote>
  <w:footnote w:type="continuationSeparator" w:id="0">
    <w:p w:rsidR="004A562C" w:rsidRDefault="004A562C" w:rsidP="00F06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J National Cancer Institute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2paev0pe9tf3exzz05s2ah2wvar5aareds&quot;&gt;klf4 endnote library&lt;record-ids&gt;&lt;item&gt;141&lt;/item&gt;&lt;item&gt;347&lt;/item&gt;&lt;item&gt;349&lt;/item&gt;&lt;item&gt;730&lt;/item&gt;&lt;item&gt;787&lt;/item&gt;&lt;item&gt;788&lt;/item&gt;&lt;item&gt;855&lt;/item&gt;&lt;item&gt;944&lt;/item&gt;&lt;item&gt;946&lt;/item&gt;&lt;item&gt;993&lt;/item&gt;&lt;item&gt;1003&lt;/item&gt;&lt;/record-ids&gt;&lt;/item&gt;&lt;/Libraries&gt;"/>
  </w:docVars>
  <w:rsids>
    <w:rsidRoot w:val="0004600F"/>
    <w:rsid w:val="000002C9"/>
    <w:rsid w:val="000012AB"/>
    <w:rsid w:val="00007DEB"/>
    <w:rsid w:val="000111EE"/>
    <w:rsid w:val="00012705"/>
    <w:rsid w:val="00020A8E"/>
    <w:rsid w:val="00026637"/>
    <w:rsid w:val="000272A7"/>
    <w:rsid w:val="00027BC7"/>
    <w:rsid w:val="00032F97"/>
    <w:rsid w:val="000344C0"/>
    <w:rsid w:val="00034DF6"/>
    <w:rsid w:val="0003514F"/>
    <w:rsid w:val="000370D9"/>
    <w:rsid w:val="00037382"/>
    <w:rsid w:val="0003782A"/>
    <w:rsid w:val="0004600F"/>
    <w:rsid w:val="00046581"/>
    <w:rsid w:val="00053F5C"/>
    <w:rsid w:val="00064F6E"/>
    <w:rsid w:val="00066DC7"/>
    <w:rsid w:val="00073590"/>
    <w:rsid w:val="00074A33"/>
    <w:rsid w:val="0007627D"/>
    <w:rsid w:val="000804AD"/>
    <w:rsid w:val="00081D4A"/>
    <w:rsid w:val="000858AF"/>
    <w:rsid w:val="00087CEA"/>
    <w:rsid w:val="00090197"/>
    <w:rsid w:val="00095B12"/>
    <w:rsid w:val="00096983"/>
    <w:rsid w:val="00097E18"/>
    <w:rsid w:val="000A2B85"/>
    <w:rsid w:val="000A3B54"/>
    <w:rsid w:val="000B0278"/>
    <w:rsid w:val="000B2504"/>
    <w:rsid w:val="000B7151"/>
    <w:rsid w:val="000B7535"/>
    <w:rsid w:val="000C1B7C"/>
    <w:rsid w:val="000C2924"/>
    <w:rsid w:val="000C4DB3"/>
    <w:rsid w:val="000C652F"/>
    <w:rsid w:val="000D4E83"/>
    <w:rsid w:val="000D5645"/>
    <w:rsid w:val="000D6E10"/>
    <w:rsid w:val="000E077E"/>
    <w:rsid w:val="000E702D"/>
    <w:rsid w:val="000F06AF"/>
    <w:rsid w:val="000F0E6C"/>
    <w:rsid w:val="000F304E"/>
    <w:rsid w:val="000F4521"/>
    <w:rsid w:val="000F4FBC"/>
    <w:rsid w:val="000F6741"/>
    <w:rsid w:val="000F70DA"/>
    <w:rsid w:val="00104FA9"/>
    <w:rsid w:val="00107CC9"/>
    <w:rsid w:val="0011566B"/>
    <w:rsid w:val="00115BC4"/>
    <w:rsid w:val="00122193"/>
    <w:rsid w:val="00123A9F"/>
    <w:rsid w:val="00131F02"/>
    <w:rsid w:val="00132EFF"/>
    <w:rsid w:val="001337E8"/>
    <w:rsid w:val="00134410"/>
    <w:rsid w:val="00135BDB"/>
    <w:rsid w:val="001459EA"/>
    <w:rsid w:val="001478E6"/>
    <w:rsid w:val="00151F34"/>
    <w:rsid w:val="00152636"/>
    <w:rsid w:val="0015654B"/>
    <w:rsid w:val="0016369F"/>
    <w:rsid w:val="00171F72"/>
    <w:rsid w:val="00175925"/>
    <w:rsid w:val="001905CF"/>
    <w:rsid w:val="0019175B"/>
    <w:rsid w:val="001932D5"/>
    <w:rsid w:val="00194CB7"/>
    <w:rsid w:val="0019511B"/>
    <w:rsid w:val="001A0357"/>
    <w:rsid w:val="001A46E1"/>
    <w:rsid w:val="001A7108"/>
    <w:rsid w:val="001B3F10"/>
    <w:rsid w:val="001C06A9"/>
    <w:rsid w:val="001C1FE1"/>
    <w:rsid w:val="001C2EFC"/>
    <w:rsid w:val="001C42A8"/>
    <w:rsid w:val="001C6B45"/>
    <w:rsid w:val="001D40B2"/>
    <w:rsid w:val="001D4A84"/>
    <w:rsid w:val="001D4A95"/>
    <w:rsid w:val="001D5513"/>
    <w:rsid w:val="001E4B2B"/>
    <w:rsid w:val="001E4FE0"/>
    <w:rsid w:val="001E69AE"/>
    <w:rsid w:val="001F36EE"/>
    <w:rsid w:val="001F373E"/>
    <w:rsid w:val="002052A3"/>
    <w:rsid w:val="00214A26"/>
    <w:rsid w:val="00226047"/>
    <w:rsid w:val="00230897"/>
    <w:rsid w:val="002354AC"/>
    <w:rsid w:val="0023585B"/>
    <w:rsid w:val="00236D2A"/>
    <w:rsid w:val="00240AF3"/>
    <w:rsid w:val="00241A22"/>
    <w:rsid w:val="00245529"/>
    <w:rsid w:val="00250838"/>
    <w:rsid w:val="00253C0A"/>
    <w:rsid w:val="00255595"/>
    <w:rsid w:val="00261205"/>
    <w:rsid w:val="00264569"/>
    <w:rsid w:val="0026551B"/>
    <w:rsid w:val="002657C4"/>
    <w:rsid w:val="002667B0"/>
    <w:rsid w:val="002702AF"/>
    <w:rsid w:val="0027059A"/>
    <w:rsid w:val="002733EC"/>
    <w:rsid w:val="0027492D"/>
    <w:rsid w:val="00274D68"/>
    <w:rsid w:val="002810BE"/>
    <w:rsid w:val="00285325"/>
    <w:rsid w:val="0028660E"/>
    <w:rsid w:val="00287B30"/>
    <w:rsid w:val="00290B76"/>
    <w:rsid w:val="002935A2"/>
    <w:rsid w:val="0029586E"/>
    <w:rsid w:val="00295C7E"/>
    <w:rsid w:val="002A2AE3"/>
    <w:rsid w:val="002A46D3"/>
    <w:rsid w:val="002A6554"/>
    <w:rsid w:val="002B081F"/>
    <w:rsid w:val="002B4426"/>
    <w:rsid w:val="002B5EEC"/>
    <w:rsid w:val="002B75BD"/>
    <w:rsid w:val="002C2599"/>
    <w:rsid w:val="002C2E98"/>
    <w:rsid w:val="002C38E3"/>
    <w:rsid w:val="002C5A7B"/>
    <w:rsid w:val="002C5D21"/>
    <w:rsid w:val="002D4E7C"/>
    <w:rsid w:val="002D50DA"/>
    <w:rsid w:val="002D58BA"/>
    <w:rsid w:val="002D5C83"/>
    <w:rsid w:val="002E2A6B"/>
    <w:rsid w:val="002E452D"/>
    <w:rsid w:val="002E4653"/>
    <w:rsid w:val="002E54DA"/>
    <w:rsid w:val="002F62FA"/>
    <w:rsid w:val="00300EE3"/>
    <w:rsid w:val="003021A2"/>
    <w:rsid w:val="003036FB"/>
    <w:rsid w:val="00310269"/>
    <w:rsid w:val="00315BA1"/>
    <w:rsid w:val="00315EC3"/>
    <w:rsid w:val="0032446E"/>
    <w:rsid w:val="003278EF"/>
    <w:rsid w:val="00335D74"/>
    <w:rsid w:val="00337C19"/>
    <w:rsid w:val="00350949"/>
    <w:rsid w:val="00351632"/>
    <w:rsid w:val="00354CC8"/>
    <w:rsid w:val="00362461"/>
    <w:rsid w:val="00366FFC"/>
    <w:rsid w:val="0037685C"/>
    <w:rsid w:val="003872B6"/>
    <w:rsid w:val="00392037"/>
    <w:rsid w:val="00393C0A"/>
    <w:rsid w:val="00396770"/>
    <w:rsid w:val="003A27D1"/>
    <w:rsid w:val="003A58DB"/>
    <w:rsid w:val="003B7901"/>
    <w:rsid w:val="003C002D"/>
    <w:rsid w:val="003C01F6"/>
    <w:rsid w:val="003C4E53"/>
    <w:rsid w:val="003C50D0"/>
    <w:rsid w:val="003C72AF"/>
    <w:rsid w:val="003D0E08"/>
    <w:rsid w:val="003D75C8"/>
    <w:rsid w:val="003D7E28"/>
    <w:rsid w:val="003E25B9"/>
    <w:rsid w:val="003E353F"/>
    <w:rsid w:val="003E681C"/>
    <w:rsid w:val="003E687F"/>
    <w:rsid w:val="003F0EE2"/>
    <w:rsid w:val="003F1233"/>
    <w:rsid w:val="003F4018"/>
    <w:rsid w:val="003F4FF3"/>
    <w:rsid w:val="003F6395"/>
    <w:rsid w:val="00400610"/>
    <w:rsid w:val="00401E64"/>
    <w:rsid w:val="0040248A"/>
    <w:rsid w:val="00404C3E"/>
    <w:rsid w:val="00414EB6"/>
    <w:rsid w:val="0042383D"/>
    <w:rsid w:val="00424EAD"/>
    <w:rsid w:val="00430649"/>
    <w:rsid w:val="00431856"/>
    <w:rsid w:val="004422B4"/>
    <w:rsid w:val="00443D07"/>
    <w:rsid w:val="00446D85"/>
    <w:rsid w:val="0044735D"/>
    <w:rsid w:val="00450A90"/>
    <w:rsid w:val="004522E2"/>
    <w:rsid w:val="004540F2"/>
    <w:rsid w:val="00464DFE"/>
    <w:rsid w:val="004704BE"/>
    <w:rsid w:val="00470B20"/>
    <w:rsid w:val="00474084"/>
    <w:rsid w:val="00477A27"/>
    <w:rsid w:val="0048075D"/>
    <w:rsid w:val="004A2006"/>
    <w:rsid w:val="004A379B"/>
    <w:rsid w:val="004A562C"/>
    <w:rsid w:val="004B0FD3"/>
    <w:rsid w:val="004B315E"/>
    <w:rsid w:val="004C333A"/>
    <w:rsid w:val="004C4ECE"/>
    <w:rsid w:val="004C56C4"/>
    <w:rsid w:val="004D06C7"/>
    <w:rsid w:val="004D1C0A"/>
    <w:rsid w:val="004D7C12"/>
    <w:rsid w:val="004E3267"/>
    <w:rsid w:val="004E3A7F"/>
    <w:rsid w:val="004F0062"/>
    <w:rsid w:val="004F00F5"/>
    <w:rsid w:val="004F28BC"/>
    <w:rsid w:val="004F3CC5"/>
    <w:rsid w:val="004F4BE8"/>
    <w:rsid w:val="004F6728"/>
    <w:rsid w:val="004F71E1"/>
    <w:rsid w:val="005030FB"/>
    <w:rsid w:val="005033EE"/>
    <w:rsid w:val="00506560"/>
    <w:rsid w:val="00507A9E"/>
    <w:rsid w:val="0051650E"/>
    <w:rsid w:val="00520B8C"/>
    <w:rsid w:val="00522640"/>
    <w:rsid w:val="00523278"/>
    <w:rsid w:val="00524E27"/>
    <w:rsid w:val="00526D36"/>
    <w:rsid w:val="00527C79"/>
    <w:rsid w:val="0053683F"/>
    <w:rsid w:val="005404FD"/>
    <w:rsid w:val="00542785"/>
    <w:rsid w:val="00543347"/>
    <w:rsid w:val="0054640D"/>
    <w:rsid w:val="00546C43"/>
    <w:rsid w:val="00546FBF"/>
    <w:rsid w:val="005514EB"/>
    <w:rsid w:val="005608E8"/>
    <w:rsid w:val="00566E63"/>
    <w:rsid w:val="00571029"/>
    <w:rsid w:val="0057285C"/>
    <w:rsid w:val="00583768"/>
    <w:rsid w:val="005848FF"/>
    <w:rsid w:val="00585715"/>
    <w:rsid w:val="0058613C"/>
    <w:rsid w:val="005870E7"/>
    <w:rsid w:val="00591145"/>
    <w:rsid w:val="005948DD"/>
    <w:rsid w:val="00595F5C"/>
    <w:rsid w:val="00596D72"/>
    <w:rsid w:val="005A140F"/>
    <w:rsid w:val="005A24BD"/>
    <w:rsid w:val="005A6A3C"/>
    <w:rsid w:val="005B1F54"/>
    <w:rsid w:val="005B2E04"/>
    <w:rsid w:val="005B3D3E"/>
    <w:rsid w:val="005B47E7"/>
    <w:rsid w:val="005B6EA2"/>
    <w:rsid w:val="005B7B6D"/>
    <w:rsid w:val="005C114D"/>
    <w:rsid w:val="005D2B19"/>
    <w:rsid w:val="005D558D"/>
    <w:rsid w:val="005D6416"/>
    <w:rsid w:val="005E119E"/>
    <w:rsid w:val="005E280A"/>
    <w:rsid w:val="005E6F95"/>
    <w:rsid w:val="005F3A1C"/>
    <w:rsid w:val="00605E75"/>
    <w:rsid w:val="00614385"/>
    <w:rsid w:val="00633F48"/>
    <w:rsid w:val="00634E82"/>
    <w:rsid w:val="0064137C"/>
    <w:rsid w:val="00657109"/>
    <w:rsid w:val="00662992"/>
    <w:rsid w:val="00666A62"/>
    <w:rsid w:val="0067020E"/>
    <w:rsid w:val="0067299F"/>
    <w:rsid w:val="00674E51"/>
    <w:rsid w:val="006773E9"/>
    <w:rsid w:val="00677405"/>
    <w:rsid w:val="0068412D"/>
    <w:rsid w:val="0068528A"/>
    <w:rsid w:val="00690549"/>
    <w:rsid w:val="006920D7"/>
    <w:rsid w:val="006921CC"/>
    <w:rsid w:val="00694D96"/>
    <w:rsid w:val="00696AE3"/>
    <w:rsid w:val="006A16ED"/>
    <w:rsid w:val="006A1C5E"/>
    <w:rsid w:val="006A4637"/>
    <w:rsid w:val="006A654C"/>
    <w:rsid w:val="006B241C"/>
    <w:rsid w:val="006B678B"/>
    <w:rsid w:val="006B71CC"/>
    <w:rsid w:val="006C3314"/>
    <w:rsid w:val="006C3BAF"/>
    <w:rsid w:val="006C4D10"/>
    <w:rsid w:val="006C4FCA"/>
    <w:rsid w:val="006C50A2"/>
    <w:rsid w:val="006C5DA4"/>
    <w:rsid w:val="006C6A1F"/>
    <w:rsid w:val="006C768B"/>
    <w:rsid w:val="006D12E9"/>
    <w:rsid w:val="006D63CD"/>
    <w:rsid w:val="006E0E85"/>
    <w:rsid w:val="006E3649"/>
    <w:rsid w:val="006E4E71"/>
    <w:rsid w:val="006E65DF"/>
    <w:rsid w:val="006F1D81"/>
    <w:rsid w:val="00700F2C"/>
    <w:rsid w:val="0070154B"/>
    <w:rsid w:val="00703301"/>
    <w:rsid w:val="007104F9"/>
    <w:rsid w:val="00713F95"/>
    <w:rsid w:val="00717B44"/>
    <w:rsid w:val="00721783"/>
    <w:rsid w:val="0072285B"/>
    <w:rsid w:val="00724BEC"/>
    <w:rsid w:val="00727F49"/>
    <w:rsid w:val="00742D60"/>
    <w:rsid w:val="007438B3"/>
    <w:rsid w:val="00745D66"/>
    <w:rsid w:val="00747201"/>
    <w:rsid w:val="0075117C"/>
    <w:rsid w:val="007528B6"/>
    <w:rsid w:val="0075777E"/>
    <w:rsid w:val="00760EAC"/>
    <w:rsid w:val="00761AE5"/>
    <w:rsid w:val="0077249A"/>
    <w:rsid w:val="00772D75"/>
    <w:rsid w:val="00776806"/>
    <w:rsid w:val="0077684F"/>
    <w:rsid w:val="00777C57"/>
    <w:rsid w:val="007851D8"/>
    <w:rsid w:val="00786304"/>
    <w:rsid w:val="00787DDE"/>
    <w:rsid w:val="007914E1"/>
    <w:rsid w:val="00792402"/>
    <w:rsid w:val="007974EF"/>
    <w:rsid w:val="007A2D62"/>
    <w:rsid w:val="007A39FE"/>
    <w:rsid w:val="007A7912"/>
    <w:rsid w:val="007B3763"/>
    <w:rsid w:val="007B44B4"/>
    <w:rsid w:val="007C0942"/>
    <w:rsid w:val="007C0E73"/>
    <w:rsid w:val="007C1406"/>
    <w:rsid w:val="007C194D"/>
    <w:rsid w:val="007C4F94"/>
    <w:rsid w:val="007C7586"/>
    <w:rsid w:val="007D1661"/>
    <w:rsid w:val="007D52DB"/>
    <w:rsid w:val="007F4CD1"/>
    <w:rsid w:val="0080055E"/>
    <w:rsid w:val="0081021C"/>
    <w:rsid w:val="008107F4"/>
    <w:rsid w:val="00811844"/>
    <w:rsid w:val="008133BC"/>
    <w:rsid w:val="00814EDE"/>
    <w:rsid w:val="0081544B"/>
    <w:rsid w:val="008155BF"/>
    <w:rsid w:val="00820199"/>
    <w:rsid w:val="0083118B"/>
    <w:rsid w:val="00833FF2"/>
    <w:rsid w:val="00841D5D"/>
    <w:rsid w:val="008554EE"/>
    <w:rsid w:val="008569EA"/>
    <w:rsid w:val="00864575"/>
    <w:rsid w:val="008647D0"/>
    <w:rsid w:val="00864CEB"/>
    <w:rsid w:val="00864E10"/>
    <w:rsid w:val="0086665F"/>
    <w:rsid w:val="008708B2"/>
    <w:rsid w:val="00871A9A"/>
    <w:rsid w:val="00872888"/>
    <w:rsid w:val="008738E3"/>
    <w:rsid w:val="00873DC2"/>
    <w:rsid w:val="00885C17"/>
    <w:rsid w:val="0089037E"/>
    <w:rsid w:val="0089320C"/>
    <w:rsid w:val="008A03EB"/>
    <w:rsid w:val="008A2704"/>
    <w:rsid w:val="008A3116"/>
    <w:rsid w:val="008A3C91"/>
    <w:rsid w:val="008A464F"/>
    <w:rsid w:val="008A512C"/>
    <w:rsid w:val="008A7D65"/>
    <w:rsid w:val="008B3922"/>
    <w:rsid w:val="008B68EA"/>
    <w:rsid w:val="008C2A7C"/>
    <w:rsid w:val="008C7856"/>
    <w:rsid w:val="008D01A1"/>
    <w:rsid w:val="008D271A"/>
    <w:rsid w:val="008D6283"/>
    <w:rsid w:val="008E07F8"/>
    <w:rsid w:val="008E4BC0"/>
    <w:rsid w:val="008F0894"/>
    <w:rsid w:val="008F25F9"/>
    <w:rsid w:val="008F3064"/>
    <w:rsid w:val="008F5CA8"/>
    <w:rsid w:val="008F659B"/>
    <w:rsid w:val="00900DB4"/>
    <w:rsid w:val="00901B61"/>
    <w:rsid w:val="0091021C"/>
    <w:rsid w:val="00916461"/>
    <w:rsid w:val="00923835"/>
    <w:rsid w:val="00924BED"/>
    <w:rsid w:val="00940127"/>
    <w:rsid w:val="0094683F"/>
    <w:rsid w:val="00946FA3"/>
    <w:rsid w:val="00947D10"/>
    <w:rsid w:val="009505CB"/>
    <w:rsid w:val="00950DCD"/>
    <w:rsid w:val="00950E18"/>
    <w:rsid w:val="00951943"/>
    <w:rsid w:val="00952CD5"/>
    <w:rsid w:val="00954326"/>
    <w:rsid w:val="009563B8"/>
    <w:rsid w:val="00960858"/>
    <w:rsid w:val="00961686"/>
    <w:rsid w:val="00966D1F"/>
    <w:rsid w:val="009727DB"/>
    <w:rsid w:val="009744DB"/>
    <w:rsid w:val="00975177"/>
    <w:rsid w:val="00984A9B"/>
    <w:rsid w:val="00990712"/>
    <w:rsid w:val="0099324D"/>
    <w:rsid w:val="00993CAF"/>
    <w:rsid w:val="00997581"/>
    <w:rsid w:val="00997D14"/>
    <w:rsid w:val="00997E58"/>
    <w:rsid w:val="009A10BA"/>
    <w:rsid w:val="009B193A"/>
    <w:rsid w:val="009B2BA2"/>
    <w:rsid w:val="009B2C2F"/>
    <w:rsid w:val="009B3FFE"/>
    <w:rsid w:val="009B43DA"/>
    <w:rsid w:val="009B4A1F"/>
    <w:rsid w:val="009B55CD"/>
    <w:rsid w:val="009B64A2"/>
    <w:rsid w:val="009B6869"/>
    <w:rsid w:val="009C1224"/>
    <w:rsid w:val="009C2918"/>
    <w:rsid w:val="009C435B"/>
    <w:rsid w:val="009C6DA9"/>
    <w:rsid w:val="009D1200"/>
    <w:rsid w:val="009D328C"/>
    <w:rsid w:val="009E0F51"/>
    <w:rsid w:val="009E1F7A"/>
    <w:rsid w:val="009E3DF6"/>
    <w:rsid w:val="009E58BA"/>
    <w:rsid w:val="009F0791"/>
    <w:rsid w:val="009F76E1"/>
    <w:rsid w:val="009F77B9"/>
    <w:rsid w:val="00A00845"/>
    <w:rsid w:val="00A00A5C"/>
    <w:rsid w:val="00A046F0"/>
    <w:rsid w:val="00A0603F"/>
    <w:rsid w:val="00A07D9E"/>
    <w:rsid w:val="00A112A1"/>
    <w:rsid w:val="00A152E5"/>
    <w:rsid w:val="00A16742"/>
    <w:rsid w:val="00A215A7"/>
    <w:rsid w:val="00A25920"/>
    <w:rsid w:val="00A25BF3"/>
    <w:rsid w:val="00A2697F"/>
    <w:rsid w:val="00A3493E"/>
    <w:rsid w:val="00A4151D"/>
    <w:rsid w:val="00A52D28"/>
    <w:rsid w:val="00A530B9"/>
    <w:rsid w:val="00A560A5"/>
    <w:rsid w:val="00A6034A"/>
    <w:rsid w:val="00A60F8D"/>
    <w:rsid w:val="00A642FC"/>
    <w:rsid w:val="00A66795"/>
    <w:rsid w:val="00A67627"/>
    <w:rsid w:val="00A73E22"/>
    <w:rsid w:val="00A75F57"/>
    <w:rsid w:val="00A8392F"/>
    <w:rsid w:val="00A84DDD"/>
    <w:rsid w:val="00A86A64"/>
    <w:rsid w:val="00A86E16"/>
    <w:rsid w:val="00A9063E"/>
    <w:rsid w:val="00A925BE"/>
    <w:rsid w:val="00A92B05"/>
    <w:rsid w:val="00A93859"/>
    <w:rsid w:val="00A940BF"/>
    <w:rsid w:val="00A9439D"/>
    <w:rsid w:val="00A94DA8"/>
    <w:rsid w:val="00A960EC"/>
    <w:rsid w:val="00AA07BB"/>
    <w:rsid w:val="00AB22F0"/>
    <w:rsid w:val="00AB2A86"/>
    <w:rsid w:val="00AB393C"/>
    <w:rsid w:val="00AB471D"/>
    <w:rsid w:val="00AB5E52"/>
    <w:rsid w:val="00AC0822"/>
    <w:rsid w:val="00AC4631"/>
    <w:rsid w:val="00AC629A"/>
    <w:rsid w:val="00AD2A16"/>
    <w:rsid w:val="00AE2172"/>
    <w:rsid w:val="00AE22BF"/>
    <w:rsid w:val="00AE4382"/>
    <w:rsid w:val="00AF3D0A"/>
    <w:rsid w:val="00B000E4"/>
    <w:rsid w:val="00B068B6"/>
    <w:rsid w:val="00B06A63"/>
    <w:rsid w:val="00B10ED4"/>
    <w:rsid w:val="00B151D6"/>
    <w:rsid w:val="00B16688"/>
    <w:rsid w:val="00B20CEF"/>
    <w:rsid w:val="00B22563"/>
    <w:rsid w:val="00B241D6"/>
    <w:rsid w:val="00B2453F"/>
    <w:rsid w:val="00B27483"/>
    <w:rsid w:val="00B3114D"/>
    <w:rsid w:val="00B3438E"/>
    <w:rsid w:val="00B36750"/>
    <w:rsid w:val="00B40788"/>
    <w:rsid w:val="00B40A09"/>
    <w:rsid w:val="00B41F6C"/>
    <w:rsid w:val="00B42C50"/>
    <w:rsid w:val="00B4397E"/>
    <w:rsid w:val="00B456D9"/>
    <w:rsid w:val="00B45D97"/>
    <w:rsid w:val="00B479C6"/>
    <w:rsid w:val="00B509A9"/>
    <w:rsid w:val="00B52A34"/>
    <w:rsid w:val="00B53114"/>
    <w:rsid w:val="00B550E9"/>
    <w:rsid w:val="00B64DE7"/>
    <w:rsid w:val="00B651F2"/>
    <w:rsid w:val="00B6770F"/>
    <w:rsid w:val="00B764E9"/>
    <w:rsid w:val="00B845FE"/>
    <w:rsid w:val="00B85BC7"/>
    <w:rsid w:val="00B85E76"/>
    <w:rsid w:val="00B90338"/>
    <w:rsid w:val="00B92148"/>
    <w:rsid w:val="00B927CB"/>
    <w:rsid w:val="00B9289F"/>
    <w:rsid w:val="00B938DE"/>
    <w:rsid w:val="00B962F9"/>
    <w:rsid w:val="00BA0151"/>
    <w:rsid w:val="00BA07D3"/>
    <w:rsid w:val="00BA2BF6"/>
    <w:rsid w:val="00BA5CE6"/>
    <w:rsid w:val="00BA6403"/>
    <w:rsid w:val="00BA6F1F"/>
    <w:rsid w:val="00BC22A5"/>
    <w:rsid w:val="00BC2DFC"/>
    <w:rsid w:val="00BC7505"/>
    <w:rsid w:val="00BD31C0"/>
    <w:rsid w:val="00BD5CBB"/>
    <w:rsid w:val="00BD7F7E"/>
    <w:rsid w:val="00BE7D59"/>
    <w:rsid w:val="00BF41F8"/>
    <w:rsid w:val="00BF42C7"/>
    <w:rsid w:val="00C01397"/>
    <w:rsid w:val="00C069F6"/>
    <w:rsid w:val="00C104D2"/>
    <w:rsid w:val="00C11579"/>
    <w:rsid w:val="00C128FF"/>
    <w:rsid w:val="00C15C24"/>
    <w:rsid w:val="00C16EFF"/>
    <w:rsid w:val="00C16F00"/>
    <w:rsid w:val="00C3460A"/>
    <w:rsid w:val="00C355B3"/>
    <w:rsid w:val="00C36586"/>
    <w:rsid w:val="00C36914"/>
    <w:rsid w:val="00C374DA"/>
    <w:rsid w:val="00C37EC1"/>
    <w:rsid w:val="00C40717"/>
    <w:rsid w:val="00C4261F"/>
    <w:rsid w:val="00C47DBE"/>
    <w:rsid w:val="00C530B1"/>
    <w:rsid w:val="00C56210"/>
    <w:rsid w:val="00C57933"/>
    <w:rsid w:val="00C628F0"/>
    <w:rsid w:val="00C76344"/>
    <w:rsid w:val="00C77DC1"/>
    <w:rsid w:val="00C80B47"/>
    <w:rsid w:val="00C81A2F"/>
    <w:rsid w:val="00C83DBF"/>
    <w:rsid w:val="00C849E0"/>
    <w:rsid w:val="00C8525B"/>
    <w:rsid w:val="00C8579E"/>
    <w:rsid w:val="00C91113"/>
    <w:rsid w:val="00C91D45"/>
    <w:rsid w:val="00C92F46"/>
    <w:rsid w:val="00C93420"/>
    <w:rsid w:val="00C96D52"/>
    <w:rsid w:val="00C96E20"/>
    <w:rsid w:val="00CA140E"/>
    <w:rsid w:val="00CA159E"/>
    <w:rsid w:val="00CA564F"/>
    <w:rsid w:val="00CB20B0"/>
    <w:rsid w:val="00CB52AB"/>
    <w:rsid w:val="00CB7987"/>
    <w:rsid w:val="00CC0EF3"/>
    <w:rsid w:val="00CC1448"/>
    <w:rsid w:val="00CC213E"/>
    <w:rsid w:val="00CC47CB"/>
    <w:rsid w:val="00CD0720"/>
    <w:rsid w:val="00CD26E5"/>
    <w:rsid w:val="00CD5688"/>
    <w:rsid w:val="00CD6AE8"/>
    <w:rsid w:val="00CD7AEE"/>
    <w:rsid w:val="00CE5454"/>
    <w:rsid w:val="00CE6B90"/>
    <w:rsid w:val="00CE7E43"/>
    <w:rsid w:val="00CF041E"/>
    <w:rsid w:val="00CF5EAA"/>
    <w:rsid w:val="00CF76B3"/>
    <w:rsid w:val="00CF77CB"/>
    <w:rsid w:val="00D028BE"/>
    <w:rsid w:val="00D07EEA"/>
    <w:rsid w:val="00D12093"/>
    <w:rsid w:val="00D17B4D"/>
    <w:rsid w:val="00D26123"/>
    <w:rsid w:val="00D37D04"/>
    <w:rsid w:val="00D40DBF"/>
    <w:rsid w:val="00D43D8B"/>
    <w:rsid w:val="00D445CB"/>
    <w:rsid w:val="00D56EC7"/>
    <w:rsid w:val="00D57351"/>
    <w:rsid w:val="00D643C9"/>
    <w:rsid w:val="00D671A4"/>
    <w:rsid w:val="00D67CEA"/>
    <w:rsid w:val="00D70242"/>
    <w:rsid w:val="00D70BCB"/>
    <w:rsid w:val="00D75CB2"/>
    <w:rsid w:val="00D75E8D"/>
    <w:rsid w:val="00D762C1"/>
    <w:rsid w:val="00D80B74"/>
    <w:rsid w:val="00D83461"/>
    <w:rsid w:val="00D95836"/>
    <w:rsid w:val="00DA2553"/>
    <w:rsid w:val="00DB00AF"/>
    <w:rsid w:val="00DB09B6"/>
    <w:rsid w:val="00DB483F"/>
    <w:rsid w:val="00DB7565"/>
    <w:rsid w:val="00DC112E"/>
    <w:rsid w:val="00DC3C57"/>
    <w:rsid w:val="00DC62AF"/>
    <w:rsid w:val="00DC65C7"/>
    <w:rsid w:val="00DD10FD"/>
    <w:rsid w:val="00DD2F9E"/>
    <w:rsid w:val="00DD67AB"/>
    <w:rsid w:val="00DD6EBA"/>
    <w:rsid w:val="00DD735F"/>
    <w:rsid w:val="00DD776A"/>
    <w:rsid w:val="00DD7EDE"/>
    <w:rsid w:val="00DE1F37"/>
    <w:rsid w:val="00DE7C74"/>
    <w:rsid w:val="00DF5A9A"/>
    <w:rsid w:val="00E000BE"/>
    <w:rsid w:val="00E00DAF"/>
    <w:rsid w:val="00E03E51"/>
    <w:rsid w:val="00E10F53"/>
    <w:rsid w:val="00E13C0E"/>
    <w:rsid w:val="00E149AA"/>
    <w:rsid w:val="00E152FD"/>
    <w:rsid w:val="00E162B4"/>
    <w:rsid w:val="00E173E9"/>
    <w:rsid w:val="00E25265"/>
    <w:rsid w:val="00E26B4D"/>
    <w:rsid w:val="00E30FFA"/>
    <w:rsid w:val="00E3464F"/>
    <w:rsid w:val="00E3482C"/>
    <w:rsid w:val="00E42022"/>
    <w:rsid w:val="00E430CC"/>
    <w:rsid w:val="00E60643"/>
    <w:rsid w:val="00E63DC6"/>
    <w:rsid w:val="00E65A7C"/>
    <w:rsid w:val="00E72749"/>
    <w:rsid w:val="00E745D0"/>
    <w:rsid w:val="00E80AD2"/>
    <w:rsid w:val="00E83469"/>
    <w:rsid w:val="00E91A03"/>
    <w:rsid w:val="00E91BE6"/>
    <w:rsid w:val="00E91DB7"/>
    <w:rsid w:val="00E9249F"/>
    <w:rsid w:val="00E93ECA"/>
    <w:rsid w:val="00E95C32"/>
    <w:rsid w:val="00EA1C03"/>
    <w:rsid w:val="00EA36AB"/>
    <w:rsid w:val="00EA57EA"/>
    <w:rsid w:val="00EA77FF"/>
    <w:rsid w:val="00EB17DE"/>
    <w:rsid w:val="00EB2E03"/>
    <w:rsid w:val="00EB504B"/>
    <w:rsid w:val="00EB5DD9"/>
    <w:rsid w:val="00EB6A72"/>
    <w:rsid w:val="00EC768F"/>
    <w:rsid w:val="00ED1FBF"/>
    <w:rsid w:val="00EE0DC3"/>
    <w:rsid w:val="00EE4165"/>
    <w:rsid w:val="00EE4E61"/>
    <w:rsid w:val="00EE6E99"/>
    <w:rsid w:val="00EE79CD"/>
    <w:rsid w:val="00EF1960"/>
    <w:rsid w:val="00EF1E5F"/>
    <w:rsid w:val="00EF34EF"/>
    <w:rsid w:val="00EF4725"/>
    <w:rsid w:val="00EF611D"/>
    <w:rsid w:val="00EF7BB3"/>
    <w:rsid w:val="00F02912"/>
    <w:rsid w:val="00F06BA4"/>
    <w:rsid w:val="00F106B8"/>
    <w:rsid w:val="00F12BD9"/>
    <w:rsid w:val="00F13BE5"/>
    <w:rsid w:val="00F148A9"/>
    <w:rsid w:val="00F156A8"/>
    <w:rsid w:val="00F17DB4"/>
    <w:rsid w:val="00F20358"/>
    <w:rsid w:val="00F23F0D"/>
    <w:rsid w:val="00F2656D"/>
    <w:rsid w:val="00F305DD"/>
    <w:rsid w:val="00F34D19"/>
    <w:rsid w:val="00F3600D"/>
    <w:rsid w:val="00F36573"/>
    <w:rsid w:val="00F366AE"/>
    <w:rsid w:val="00F44ADA"/>
    <w:rsid w:val="00F53886"/>
    <w:rsid w:val="00F53F21"/>
    <w:rsid w:val="00F55735"/>
    <w:rsid w:val="00F57F05"/>
    <w:rsid w:val="00F63BF1"/>
    <w:rsid w:val="00F658E0"/>
    <w:rsid w:val="00F7204A"/>
    <w:rsid w:val="00F72458"/>
    <w:rsid w:val="00F748EA"/>
    <w:rsid w:val="00F755C4"/>
    <w:rsid w:val="00F80EC4"/>
    <w:rsid w:val="00F84721"/>
    <w:rsid w:val="00F85BE4"/>
    <w:rsid w:val="00F96149"/>
    <w:rsid w:val="00F96273"/>
    <w:rsid w:val="00FA4FE0"/>
    <w:rsid w:val="00FA70D5"/>
    <w:rsid w:val="00FB1E78"/>
    <w:rsid w:val="00FB3823"/>
    <w:rsid w:val="00FB4765"/>
    <w:rsid w:val="00FB4785"/>
    <w:rsid w:val="00FB5A25"/>
    <w:rsid w:val="00FC6D46"/>
    <w:rsid w:val="00FD1AA5"/>
    <w:rsid w:val="00FD2E52"/>
    <w:rsid w:val="00FD522A"/>
    <w:rsid w:val="00FE5096"/>
    <w:rsid w:val="00FE5CB9"/>
    <w:rsid w:val="00FE5F88"/>
    <w:rsid w:val="00FF01FB"/>
    <w:rsid w:val="00FF08F1"/>
    <w:rsid w:val="00FF414B"/>
    <w:rsid w:val="00FF4D7A"/>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1F54"/>
  </w:style>
  <w:style w:type="character" w:styleId="Hyperlink">
    <w:name w:val="Hyperlink"/>
    <w:basedOn w:val="DefaultParagraphFont"/>
    <w:uiPriority w:val="99"/>
    <w:unhideWhenUsed/>
    <w:rsid w:val="00A530B9"/>
    <w:rPr>
      <w:color w:val="0000FF" w:themeColor="hyperlink"/>
      <w:u w:val="single"/>
    </w:rPr>
  </w:style>
  <w:style w:type="paragraph" w:styleId="BalloonText">
    <w:name w:val="Balloon Text"/>
    <w:basedOn w:val="Normal"/>
    <w:link w:val="BalloonTextChar"/>
    <w:uiPriority w:val="99"/>
    <w:semiHidden/>
    <w:unhideWhenUsed/>
    <w:rsid w:val="009A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BA"/>
    <w:rPr>
      <w:rFonts w:ascii="Tahoma" w:hAnsi="Tahoma" w:cs="Tahoma"/>
      <w:sz w:val="16"/>
      <w:szCs w:val="16"/>
    </w:rPr>
  </w:style>
  <w:style w:type="character" w:customStyle="1" w:styleId="sc">
    <w:name w:val="sc"/>
    <w:basedOn w:val="DefaultParagraphFont"/>
    <w:rsid w:val="00A93859"/>
  </w:style>
  <w:style w:type="paragraph" w:styleId="Header">
    <w:name w:val="header"/>
    <w:basedOn w:val="Normal"/>
    <w:link w:val="HeaderChar"/>
    <w:uiPriority w:val="99"/>
    <w:unhideWhenUsed/>
    <w:rsid w:val="00F0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A4"/>
  </w:style>
  <w:style w:type="paragraph" w:styleId="Footer">
    <w:name w:val="footer"/>
    <w:basedOn w:val="Normal"/>
    <w:link w:val="FooterChar"/>
    <w:uiPriority w:val="99"/>
    <w:unhideWhenUsed/>
    <w:rsid w:val="00F0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A4"/>
  </w:style>
  <w:style w:type="table" w:styleId="TableGrid">
    <w:name w:val="Table Grid"/>
    <w:basedOn w:val="TableNormal"/>
    <w:uiPriority w:val="59"/>
    <w:rsid w:val="00B27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274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274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5C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609">
      <w:bodyDiv w:val="1"/>
      <w:marLeft w:val="0"/>
      <w:marRight w:val="0"/>
      <w:marTop w:val="0"/>
      <w:marBottom w:val="0"/>
      <w:divBdr>
        <w:top w:val="none" w:sz="0" w:space="0" w:color="auto"/>
        <w:left w:val="none" w:sz="0" w:space="0" w:color="auto"/>
        <w:bottom w:val="none" w:sz="0" w:space="0" w:color="auto"/>
        <w:right w:val="none" w:sz="0" w:space="0" w:color="auto"/>
      </w:divBdr>
    </w:div>
    <w:div w:id="19943158">
      <w:bodyDiv w:val="1"/>
      <w:marLeft w:val="0"/>
      <w:marRight w:val="0"/>
      <w:marTop w:val="0"/>
      <w:marBottom w:val="0"/>
      <w:divBdr>
        <w:top w:val="none" w:sz="0" w:space="0" w:color="auto"/>
        <w:left w:val="none" w:sz="0" w:space="0" w:color="auto"/>
        <w:bottom w:val="none" w:sz="0" w:space="0" w:color="auto"/>
        <w:right w:val="none" w:sz="0" w:space="0" w:color="auto"/>
      </w:divBdr>
    </w:div>
    <w:div w:id="30306560">
      <w:bodyDiv w:val="1"/>
      <w:marLeft w:val="0"/>
      <w:marRight w:val="0"/>
      <w:marTop w:val="0"/>
      <w:marBottom w:val="0"/>
      <w:divBdr>
        <w:top w:val="none" w:sz="0" w:space="0" w:color="auto"/>
        <w:left w:val="none" w:sz="0" w:space="0" w:color="auto"/>
        <w:bottom w:val="none" w:sz="0" w:space="0" w:color="auto"/>
        <w:right w:val="none" w:sz="0" w:space="0" w:color="auto"/>
      </w:divBdr>
    </w:div>
    <w:div w:id="89740539">
      <w:bodyDiv w:val="1"/>
      <w:marLeft w:val="0"/>
      <w:marRight w:val="0"/>
      <w:marTop w:val="0"/>
      <w:marBottom w:val="0"/>
      <w:divBdr>
        <w:top w:val="none" w:sz="0" w:space="0" w:color="auto"/>
        <w:left w:val="none" w:sz="0" w:space="0" w:color="auto"/>
        <w:bottom w:val="none" w:sz="0" w:space="0" w:color="auto"/>
        <w:right w:val="none" w:sz="0" w:space="0" w:color="auto"/>
      </w:divBdr>
    </w:div>
    <w:div w:id="94718601">
      <w:bodyDiv w:val="1"/>
      <w:marLeft w:val="0"/>
      <w:marRight w:val="0"/>
      <w:marTop w:val="0"/>
      <w:marBottom w:val="0"/>
      <w:divBdr>
        <w:top w:val="none" w:sz="0" w:space="0" w:color="auto"/>
        <w:left w:val="none" w:sz="0" w:space="0" w:color="auto"/>
        <w:bottom w:val="none" w:sz="0" w:space="0" w:color="auto"/>
        <w:right w:val="none" w:sz="0" w:space="0" w:color="auto"/>
      </w:divBdr>
    </w:div>
    <w:div w:id="131794444">
      <w:bodyDiv w:val="1"/>
      <w:marLeft w:val="0"/>
      <w:marRight w:val="0"/>
      <w:marTop w:val="0"/>
      <w:marBottom w:val="0"/>
      <w:divBdr>
        <w:top w:val="none" w:sz="0" w:space="0" w:color="auto"/>
        <w:left w:val="none" w:sz="0" w:space="0" w:color="auto"/>
        <w:bottom w:val="none" w:sz="0" w:space="0" w:color="auto"/>
        <w:right w:val="none" w:sz="0" w:space="0" w:color="auto"/>
      </w:divBdr>
    </w:div>
    <w:div w:id="148711114">
      <w:bodyDiv w:val="1"/>
      <w:marLeft w:val="0"/>
      <w:marRight w:val="0"/>
      <w:marTop w:val="0"/>
      <w:marBottom w:val="0"/>
      <w:divBdr>
        <w:top w:val="none" w:sz="0" w:space="0" w:color="auto"/>
        <w:left w:val="none" w:sz="0" w:space="0" w:color="auto"/>
        <w:bottom w:val="none" w:sz="0" w:space="0" w:color="auto"/>
        <w:right w:val="none" w:sz="0" w:space="0" w:color="auto"/>
      </w:divBdr>
    </w:div>
    <w:div w:id="323704924">
      <w:bodyDiv w:val="1"/>
      <w:marLeft w:val="0"/>
      <w:marRight w:val="0"/>
      <w:marTop w:val="0"/>
      <w:marBottom w:val="0"/>
      <w:divBdr>
        <w:top w:val="none" w:sz="0" w:space="0" w:color="auto"/>
        <w:left w:val="none" w:sz="0" w:space="0" w:color="auto"/>
        <w:bottom w:val="none" w:sz="0" w:space="0" w:color="auto"/>
        <w:right w:val="none" w:sz="0" w:space="0" w:color="auto"/>
      </w:divBdr>
    </w:div>
    <w:div w:id="519781630">
      <w:bodyDiv w:val="1"/>
      <w:marLeft w:val="0"/>
      <w:marRight w:val="0"/>
      <w:marTop w:val="0"/>
      <w:marBottom w:val="0"/>
      <w:divBdr>
        <w:top w:val="none" w:sz="0" w:space="0" w:color="auto"/>
        <w:left w:val="none" w:sz="0" w:space="0" w:color="auto"/>
        <w:bottom w:val="none" w:sz="0" w:space="0" w:color="auto"/>
        <w:right w:val="none" w:sz="0" w:space="0" w:color="auto"/>
      </w:divBdr>
    </w:div>
    <w:div w:id="553078222">
      <w:bodyDiv w:val="1"/>
      <w:marLeft w:val="0"/>
      <w:marRight w:val="0"/>
      <w:marTop w:val="0"/>
      <w:marBottom w:val="0"/>
      <w:divBdr>
        <w:top w:val="none" w:sz="0" w:space="0" w:color="auto"/>
        <w:left w:val="none" w:sz="0" w:space="0" w:color="auto"/>
        <w:bottom w:val="none" w:sz="0" w:space="0" w:color="auto"/>
        <w:right w:val="none" w:sz="0" w:space="0" w:color="auto"/>
      </w:divBdr>
    </w:div>
    <w:div w:id="591473953">
      <w:bodyDiv w:val="1"/>
      <w:marLeft w:val="0"/>
      <w:marRight w:val="0"/>
      <w:marTop w:val="0"/>
      <w:marBottom w:val="0"/>
      <w:divBdr>
        <w:top w:val="none" w:sz="0" w:space="0" w:color="auto"/>
        <w:left w:val="none" w:sz="0" w:space="0" w:color="auto"/>
        <w:bottom w:val="none" w:sz="0" w:space="0" w:color="auto"/>
        <w:right w:val="none" w:sz="0" w:space="0" w:color="auto"/>
      </w:divBdr>
    </w:div>
    <w:div w:id="660544091">
      <w:bodyDiv w:val="1"/>
      <w:marLeft w:val="0"/>
      <w:marRight w:val="0"/>
      <w:marTop w:val="0"/>
      <w:marBottom w:val="0"/>
      <w:divBdr>
        <w:top w:val="none" w:sz="0" w:space="0" w:color="auto"/>
        <w:left w:val="none" w:sz="0" w:space="0" w:color="auto"/>
        <w:bottom w:val="none" w:sz="0" w:space="0" w:color="auto"/>
        <w:right w:val="none" w:sz="0" w:space="0" w:color="auto"/>
      </w:divBdr>
    </w:div>
    <w:div w:id="685207838">
      <w:bodyDiv w:val="1"/>
      <w:marLeft w:val="0"/>
      <w:marRight w:val="0"/>
      <w:marTop w:val="0"/>
      <w:marBottom w:val="0"/>
      <w:divBdr>
        <w:top w:val="none" w:sz="0" w:space="0" w:color="auto"/>
        <w:left w:val="none" w:sz="0" w:space="0" w:color="auto"/>
        <w:bottom w:val="none" w:sz="0" w:space="0" w:color="auto"/>
        <w:right w:val="none" w:sz="0" w:space="0" w:color="auto"/>
      </w:divBdr>
    </w:div>
    <w:div w:id="705325826">
      <w:bodyDiv w:val="1"/>
      <w:marLeft w:val="0"/>
      <w:marRight w:val="0"/>
      <w:marTop w:val="0"/>
      <w:marBottom w:val="0"/>
      <w:divBdr>
        <w:top w:val="none" w:sz="0" w:space="0" w:color="auto"/>
        <w:left w:val="none" w:sz="0" w:space="0" w:color="auto"/>
        <w:bottom w:val="none" w:sz="0" w:space="0" w:color="auto"/>
        <w:right w:val="none" w:sz="0" w:space="0" w:color="auto"/>
      </w:divBdr>
    </w:div>
    <w:div w:id="709307727">
      <w:bodyDiv w:val="1"/>
      <w:marLeft w:val="0"/>
      <w:marRight w:val="0"/>
      <w:marTop w:val="0"/>
      <w:marBottom w:val="0"/>
      <w:divBdr>
        <w:top w:val="none" w:sz="0" w:space="0" w:color="auto"/>
        <w:left w:val="none" w:sz="0" w:space="0" w:color="auto"/>
        <w:bottom w:val="none" w:sz="0" w:space="0" w:color="auto"/>
        <w:right w:val="none" w:sz="0" w:space="0" w:color="auto"/>
      </w:divBdr>
    </w:div>
    <w:div w:id="834691773">
      <w:bodyDiv w:val="1"/>
      <w:marLeft w:val="0"/>
      <w:marRight w:val="0"/>
      <w:marTop w:val="0"/>
      <w:marBottom w:val="0"/>
      <w:divBdr>
        <w:top w:val="none" w:sz="0" w:space="0" w:color="auto"/>
        <w:left w:val="none" w:sz="0" w:space="0" w:color="auto"/>
        <w:bottom w:val="none" w:sz="0" w:space="0" w:color="auto"/>
        <w:right w:val="none" w:sz="0" w:space="0" w:color="auto"/>
      </w:divBdr>
    </w:div>
    <w:div w:id="933633317">
      <w:bodyDiv w:val="1"/>
      <w:marLeft w:val="0"/>
      <w:marRight w:val="0"/>
      <w:marTop w:val="0"/>
      <w:marBottom w:val="0"/>
      <w:divBdr>
        <w:top w:val="none" w:sz="0" w:space="0" w:color="auto"/>
        <w:left w:val="none" w:sz="0" w:space="0" w:color="auto"/>
        <w:bottom w:val="none" w:sz="0" w:space="0" w:color="auto"/>
        <w:right w:val="none" w:sz="0" w:space="0" w:color="auto"/>
      </w:divBdr>
    </w:div>
    <w:div w:id="941063005">
      <w:bodyDiv w:val="1"/>
      <w:marLeft w:val="0"/>
      <w:marRight w:val="0"/>
      <w:marTop w:val="0"/>
      <w:marBottom w:val="0"/>
      <w:divBdr>
        <w:top w:val="none" w:sz="0" w:space="0" w:color="auto"/>
        <w:left w:val="none" w:sz="0" w:space="0" w:color="auto"/>
        <w:bottom w:val="none" w:sz="0" w:space="0" w:color="auto"/>
        <w:right w:val="none" w:sz="0" w:space="0" w:color="auto"/>
      </w:divBdr>
    </w:div>
    <w:div w:id="1173911648">
      <w:bodyDiv w:val="1"/>
      <w:marLeft w:val="0"/>
      <w:marRight w:val="0"/>
      <w:marTop w:val="0"/>
      <w:marBottom w:val="0"/>
      <w:divBdr>
        <w:top w:val="none" w:sz="0" w:space="0" w:color="auto"/>
        <w:left w:val="none" w:sz="0" w:space="0" w:color="auto"/>
        <w:bottom w:val="none" w:sz="0" w:space="0" w:color="auto"/>
        <w:right w:val="none" w:sz="0" w:space="0" w:color="auto"/>
      </w:divBdr>
    </w:div>
    <w:div w:id="1294671063">
      <w:bodyDiv w:val="1"/>
      <w:marLeft w:val="0"/>
      <w:marRight w:val="0"/>
      <w:marTop w:val="0"/>
      <w:marBottom w:val="0"/>
      <w:divBdr>
        <w:top w:val="none" w:sz="0" w:space="0" w:color="auto"/>
        <w:left w:val="none" w:sz="0" w:space="0" w:color="auto"/>
        <w:bottom w:val="none" w:sz="0" w:space="0" w:color="auto"/>
        <w:right w:val="none" w:sz="0" w:space="0" w:color="auto"/>
      </w:divBdr>
    </w:div>
    <w:div w:id="1347824728">
      <w:bodyDiv w:val="1"/>
      <w:marLeft w:val="0"/>
      <w:marRight w:val="0"/>
      <w:marTop w:val="0"/>
      <w:marBottom w:val="0"/>
      <w:divBdr>
        <w:top w:val="none" w:sz="0" w:space="0" w:color="auto"/>
        <w:left w:val="none" w:sz="0" w:space="0" w:color="auto"/>
        <w:bottom w:val="none" w:sz="0" w:space="0" w:color="auto"/>
        <w:right w:val="none" w:sz="0" w:space="0" w:color="auto"/>
      </w:divBdr>
    </w:div>
    <w:div w:id="1358845749">
      <w:bodyDiv w:val="1"/>
      <w:marLeft w:val="0"/>
      <w:marRight w:val="0"/>
      <w:marTop w:val="0"/>
      <w:marBottom w:val="0"/>
      <w:divBdr>
        <w:top w:val="none" w:sz="0" w:space="0" w:color="auto"/>
        <w:left w:val="none" w:sz="0" w:space="0" w:color="auto"/>
        <w:bottom w:val="none" w:sz="0" w:space="0" w:color="auto"/>
        <w:right w:val="none" w:sz="0" w:space="0" w:color="auto"/>
      </w:divBdr>
    </w:div>
    <w:div w:id="1456215637">
      <w:bodyDiv w:val="1"/>
      <w:marLeft w:val="0"/>
      <w:marRight w:val="0"/>
      <w:marTop w:val="0"/>
      <w:marBottom w:val="0"/>
      <w:divBdr>
        <w:top w:val="none" w:sz="0" w:space="0" w:color="auto"/>
        <w:left w:val="none" w:sz="0" w:space="0" w:color="auto"/>
        <w:bottom w:val="none" w:sz="0" w:space="0" w:color="auto"/>
        <w:right w:val="none" w:sz="0" w:space="0" w:color="auto"/>
      </w:divBdr>
    </w:div>
    <w:div w:id="1612391993">
      <w:bodyDiv w:val="1"/>
      <w:marLeft w:val="0"/>
      <w:marRight w:val="0"/>
      <w:marTop w:val="0"/>
      <w:marBottom w:val="0"/>
      <w:divBdr>
        <w:top w:val="none" w:sz="0" w:space="0" w:color="auto"/>
        <w:left w:val="none" w:sz="0" w:space="0" w:color="auto"/>
        <w:bottom w:val="none" w:sz="0" w:space="0" w:color="auto"/>
        <w:right w:val="none" w:sz="0" w:space="0" w:color="auto"/>
      </w:divBdr>
    </w:div>
    <w:div w:id="1762872920">
      <w:bodyDiv w:val="1"/>
      <w:marLeft w:val="0"/>
      <w:marRight w:val="0"/>
      <w:marTop w:val="0"/>
      <w:marBottom w:val="0"/>
      <w:divBdr>
        <w:top w:val="none" w:sz="0" w:space="0" w:color="auto"/>
        <w:left w:val="none" w:sz="0" w:space="0" w:color="auto"/>
        <w:bottom w:val="none" w:sz="0" w:space="0" w:color="auto"/>
        <w:right w:val="none" w:sz="0" w:space="0" w:color="auto"/>
      </w:divBdr>
    </w:div>
    <w:div w:id="1797023633">
      <w:bodyDiv w:val="1"/>
      <w:marLeft w:val="0"/>
      <w:marRight w:val="0"/>
      <w:marTop w:val="0"/>
      <w:marBottom w:val="0"/>
      <w:divBdr>
        <w:top w:val="none" w:sz="0" w:space="0" w:color="auto"/>
        <w:left w:val="none" w:sz="0" w:space="0" w:color="auto"/>
        <w:bottom w:val="none" w:sz="0" w:space="0" w:color="auto"/>
        <w:right w:val="none" w:sz="0" w:space="0" w:color="auto"/>
      </w:divBdr>
    </w:div>
    <w:div w:id="1803377852">
      <w:bodyDiv w:val="1"/>
      <w:marLeft w:val="0"/>
      <w:marRight w:val="0"/>
      <w:marTop w:val="0"/>
      <w:marBottom w:val="0"/>
      <w:divBdr>
        <w:top w:val="none" w:sz="0" w:space="0" w:color="auto"/>
        <w:left w:val="none" w:sz="0" w:space="0" w:color="auto"/>
        <w:bottom w:val="none" w:sz="0" w:space="0" w:color="auto"/>
        <w:right w:val="none" w:sz="0" w:space="0" w:color="auto"/>
      </w:divBdr>
    </w:div>
    <w:div w:id="1862619194">
      <w:bodyDiv w:val="1"/>
      <w:marLeft w:val="0"/>
      <w:marRight w:val="0"/>
      <w:marTop w:val="0"/>
      <w:marBottom w:val="0"/>
      <w:divBdr>
        <w:top w:val="none" w:sz="0" w:space="0" w:color="auto"/>
        <w:left w:val="none" w:sz="0" w:space="0" w:color="auto"/>
        <w:bottom w:val="none" w:sz="0" w:space="0" w:color="auto"/>
        <w:right w:val="none" w:sz="0" w:space="0" w:color="auto"/>
      </w:divBdr>
    </w:div>
    <w:div w:id="1907953216">
      <w:bodyDiv w:val="1"/>
      <w:marLeft w:val="0"/>
      <w:marRight w:val="0"/>
      <w:marTop w:val="0"/>
      <w:marBottom w:val="0"/>
      <w:divBdr>
        <w:top w:val="none" w:sz="0" w:space="0" w:color="auto"/>
        <w:left w:val="none" w:sz="0" w:space="0" w:color="auto"/>
        <w:bottom w:val="none" w:sz="0" w:space="0" w:color="auto"/>
        <w:right w:val="none" w:sz="0" w:space="0" w:color="auto"/>
      </w:divBdr>
    </w:div>
    <w:div w:id="1985085820">
      <w:bodyDiv w:val="1"/>
      <w:marLeft w:val="0"/>
      <w:marRight w:val="0"/>
      <w:marTop w:val="0"/>
      <w:marBottom w:val="0"/>
      <w:divBdr>
        <w:top w:val="none" w:sz="0" w:space="0" w:color="auto"/>
        <w:left w:val="none" w:sz="0" w:space="0" w:color="auto"/>
        <w:bottom w:val="none" w:sz="0" w:space="0" w:color="auto"/>
        <w:right w:val="none" w:sz="0" w:space="0" w:color="auto"/>
      </w:divBdr>
    </w:div>
    <w:div w:id="20087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Yori</dc:creator>
  <cp:lastModifiedBy>SOM-Staff</cp:lastModifiedBy>
  <cp:revision>2</cp:revision>
  <cp:lastPrinted>2014-05-14T14:38:00Z</cp:lastPrinted>
  <dcterms:created xsi:type="dcterms:W3CDTF">2014-05-14T16:47:00Z</dcterms:created>
  <dcterms:modified xsi:type="dcterms:W3CDTF">2014-05-14T16:47:00Z</dcterms:modified>
</cp:coreProperties>
</file>