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5246" w14:textId="2776D256" w:rsidR="00B04011" w:rsidRPr="00B04011" w:rsidRDefault="003F206A" w:rsidP="00B04011">
      <w:pPr>
        <w:spacing w:after="0" w:line="480" w:lineRule="auto"/>
        <w:rPr>
          <w:rFonts w:asciiTheme="minorBidi" w:hAnsiTheme="minorBidi"/>
          <w:bCs/>
        </w:rPr>
      </w:pPr>
      <w:r>
        <w:rPr>
          <w:rFonts w:asciiTheme="minorBidi" w:hAnsiTheme="minorBidi"/>
          <w:b/>
        </w:rPr>
        <w:t>Word Count</w:t>
      </w:r>
      <w:r w:rsidR="00B04011" w:rsidRPr="00BD1545">
        <w:rPr>
          <w:rFonts w:asciiTheme="minorBidi" w:hAnsiTheme="minorBidi"/>
          <w:b/>
        </w:rPr>
        <w:t xml:space="preserve"> (including section headings): </w:t>
      </w:r>
      <w:r w:rsidR="00B04011" w:rsidRPr="00B04011">
        <w:rPr>
          <w:rFonts w:asciiTheme="minorBidi" w:hAnsiTheme="minorBidi"/>
          <w:bCs/>
        </w:rPr>
        <w:t>1,1</w:t>
      </w:r>
      <w:r w:rsidR="00360F9C">
        <w:rPr>
          <w:rFonts w:asciiTheme="minorBidi" w:hAnsiTheme="minorBidi"/>
          <w:bCs/>
        </w:rPr>
        <w:t>4</w:t>
      </w:r>
      <w:r>
        <w:rPr>
          <w:rFonts w:asciiTheme="minorBidi" w:hAnsiTheme="minorBidi"/>
          <w:bCs/>
        </w:rPr>
        <w:t>6</w:t>
      </w:r>
      <w:r w:rsidR="00A06AC3">
        <w:rPr>
          <w:rFonts w:asciiTheme="minorBidi" w:hAnsiTheme="minorBidi"/>
          <w:bCs/>
        </w:rPr>
        <w:t xml:space="preserve"> </w:t>
      </w:r>
    </w:p>
    <w:p w14:paraId="161B1030" w14:textId="1F542B3D" w:rsidR="00B04011" w:rsidRDefault="00B04011" w:rsidP="00B04011">
      <w:pPr>
        <w:spacing w:after="0" w:line="480" w:lineRule="auto"/>
        <w:rPr>
          <w:rFonts w:asciiTheme="minorBidi" w:hAnsiTheme="minorBidi"/>
          <w:bCs/>
        </w:rPr>
      </w:pPr>
      <w:r w:rsidRPr="00787F7E">
        <w:rPr>
          <w:rFonts w:asciiTheme="minorBidi" w:hAnsiTheme="minorBidi"/>
          <w:b/>
        </w:rPr>
        <w:t>References:</w:t>
      </w:r>
      <w:r w:rsidRPr="00BD1545">
        <w:rPr>
          <w:rFonts w:asciiTheme="minorBidi" w:hAnsiTheme="minorBidi"/>
          <w:b/>
        </w:rPr>
        <w:t xml:space="preserve"> </w:t>
      </w:r>
      <w:r>
        <w:rPr>
          <w:rFonts w:asciiTheme="minorBidi" w:hAnsiTheme="minorBidi"/>
          <w:bCs/>
        </w:rPr>
        <w:t>7</w:t>
      </w:r>
    </w:p>
    <w:p w14:paraId="2D764DFB" w14:textId="2E9A5BB8" w:rsidR="00B04011" w:rsidRDefault="00B04011" w:rsidP="00B04011">
      <w:pPr>
        <w:pBdr>
          <w:bottom w:val="single" w:sz="4" w:space="1" w:color="auto"/>
        </w:pBdr>
        <w:rPr>
          <w:rFonts w:ascii="Arial" w:hAnsi="Arial" w:cs="Arial"/>
          <w:b/>
          <w:bCs/>
        </w:rPr>
      </w:pPr>
    </w:p>
    <w:p w14:paraId="06AA6B87" w14:textId="5AF400AA" w:rsidR="00CA7683" w:rsidRPr="00974D61" w:rsidRDefault="00CA7683" w:rsidP="00CA7683">
      <w:pPr>
        <w:rPr>
          <w:rFonts w:ascii="Arial" w:hAnsi="Arial" w:cs="Arial"/>
        </w:rPr>
      </w:pPr>
    </w:p>
    <w:p w14:paraId="7FDA22E9" w14:textId="77777777" w:rsidR="00CA7683" w:rsidRPr="00974D61" w:rsidRDefault="00CA7683" w:rsidP="00CA7683">
      <w:pPr>
        <w:spacing w:after="0" w:line="480" w:lineRule="auto"/>
        <w:rPr>
          <w:rFonts w:ascii="Arial" w:hAnsi="Arial" w:cs="Arial"/>
          <w:b/>
        </w:rPr>
      </w:pPr>
      <w:r w:rsidRPr="00974D61">
        <w:rPr>
          <w:rFonts w:ascii="Arial" w:hAnsi="Arial" w:cs="Arial"/>
          <w:b/>
        </w:rPr>
        <w:t>Clinical Procedures</w:t>
      </w:r>
    </w:p>
    <w:p w14:paraId="6E7A3E7A" w14:textId="0858187D" w:rsidR="00CA7683" w:rsidRPr="00974D61" w:rsidRDefault="00CA7683" w:rsidP="00CA7683">
      <w:pPr>
        <w:spacing w:after="0" w:line="480" w:lineRule="auto"/>
        <w:ind w:firstLine="720"/>
        <w:rPr>
          <w:rFonts w:ascii="Arial" w:hAnsi="Arial" w:cs="Arial"/>
        </w:rPr>
      </w:pPr>
      <w:r w:rsidRPr="00974D61">
        <w:rPr>
          <w:rFonts w:ascii="Arial" w:hAnsi="Arial" w:cs="Arial"/>
        </w:rPr>
        <w:t>Bowel preparation procedures and colonoscopy were performed according to the standard of care at each clinical site.  No dietary or medication restrictions were required for the mt-</w:t>
      </w:r>
      <w:proofErr w:type="spellStart"/>
      <w:r w:rsidRPr="00974D61">
        <w:rPr>
          <w:rFonts w:ascii="Arial" w:hAnsi="Arial" w:cs="Arial"/>
        </w:rPr>
        <w:t>sDNA</w:t>
      </w:r>
      <w:proofErr w:type="spellEnd"/>
      <w:r w:rsidRPr="00974D61">
        <w:rPr>
          <w:rFonts w:ascii="Arial" w:hAnsi="Arial" w:cs="Arial"/>
        </w:rPr>
        <w:t xml:space="preserve"> test.  Source documentation included the quality of bowel preparation (modified </w:t>
      </w:r>
      <w:proofErr w:type="spellStart"/>
      <w:r w:rsidRPr="00974D61">
        <w:rPr>
          <w:rFonts w:ascii="Arial" w:hAnsi="Arial" w:cs="Arial"/>
        </w:rPr>
        <w:t>Aronchick</w:t>
      </w:r>
      <w:proofErr w:type="spellEnd"/>
      <w:r w:rsidRPr="00974D61">
        <w:rPr>
          <w:rFonts w:ascii="Arial" w:hAnsi="Arial" w:cs="Arial"/>
        </w:rPr>
        <w:t xml:space="preserve"> scale</w:t>
      </w:r>
      <w:r w:rsidRPr="00974D61">
        <w:rPr>
          <w:rFonts w:ascii="Arial" w:hAnsi="Arial" w:cs="Arial"/>
        </w:rPr>
        <w:fldChar w:fldCharType="begin" w:fldLock="1"/>
      </w:r>
      <w:r w:rsidR="00970BF2">
        <w:rPr>
          <w:rFonts w:ascii="Arial" w:hAnsi="Arial" w:cs="Arial"/>
        </w:rPr>
        <w:instrText>ADDIN CSL_CITATION {"citationItems":[{"id":"ITEM-1","itemData":{"DOI":"10.3748/wjg.v24.i26.2833","ISSN":"2219-2840","abstract":"Colorectal cancer (CRC) is the third most common cancer and second leading cause of cancer-related death in the United States. Colonoscopy is widely preferred for CRC screening and is the most commonly used method in the United States. Adequate bowel preparation is essential for successful colonoscopy CRC screening. However, up to one-quarter of colonoscopies are associated with inadequate bowel preparation, which may result in reduced polyp and adenoma detection rates, unsuccessful screens, and an increased likelihood of repeat procedure. In addition, standardized criteria and assessment scales for bowel preparation quality are lacking. While several bowel preparation quality scales are referred to in the literature, these differ greatly in grading methodology and categorization criteria. Published reliability and validity data are available for five bowel preparation quality assessment scales, which vary in several key attributes. However, clinicians and researchers continue to use a variety of bowel preparation quality measures, including nonvalidated scales, leading to potential confusion and difficulty when comparing quality results among clinicians and across clinical trials. Optimal clinical criteria for bowel preparation quality remain controversial. The use of validated bowel preparation quality scales with stringent but simple scoring criteria would help clarify clinical trial data as well as the performance of colonoscopy in clinical practice related to quality measurements. Core tip: Adequate bowel preparation is essential for proper visualization of the colonic mucosa to optimize lesion detection for a successful colonoscopy. Clinicians and researchers continue to use a variety of bowel preparation quality measures, including de novo , nonvalidated scales in clinical studies, leading to potential confusion, and creating difficulty when comparing bowel preparation quality results across clinical trials. Based on data evaluating different bowel preparation quality scales in the literature, and published criteria that define the most desirable measures to be used in such grading scales, the Boston Bowel Preparation Scale is currently recommended as standard. Kastenberg D, Bertiger G, Brogadir S. Bowel preparation quality scales for colonoscopy.","author":[{"dropping-particle":"","family":"Kastenberg","given":"David","non-dropping-particle":"","parse-names":false,"suffix":""},{"dropping-particle":"","family":"Bertiger","given":"Gerald","non-dropping-particle":"","parse-names":false,"suffix":""},{"dropping-particle":"","family":"Brogadir","given":"Stuart","non-dropping-particle":"","parse-names":false,"suffix":""}],"container-title":"World J Gastroenterol","id":"ITEM-1","issue":"26","issued":{"date-parts":[["2833"]]},"page":"2833-2843","title":"Bowel preparation quality scales for colonoscopy","type":"article-journal","volume":"24"},"uris":["http://www.mendeley.com/documents/?uuid=d4fc4380-be01-3490-9a5a-b56676fead49"]}],"mendeley":{"formattedCitation":"&lt;sup&gt;1&lt;/sup&gt;","plainTextFormattedCitation":"1","previouslyFormattedCitation":"[4]"},"properties":{"noteIndex":0},"schema":"https://github.com/citation-style-language/schema/raw/master/csl-citation.json"}</w:instrText>
      </w:r>
      <w:r w:rsidRPr="00974D61">
        <w:rPr>
          <w:rFonts w:ascii="Arial" w:hAnsi="Arial" w:cs="Arial"/>
        </w:rPr>
        <w:fldChar w:fldCharType="separate"/>
      </w:r>
      <w:r w:rsidR="00970BF2" w:rsidRPr="00970BF2">
        <w:rPr>
          <w:rFonts w:ascii="Arial" w:hAnsi="Arial" w:cs="Arial"/>
          <w:noProof/>
          <w:vertAlign w:val="superscript"/>
        </w:rPr>
        <w:t>1</w:t>
      </w:r>
      <w:r w:rsidRPr="00974D61">
        <w:rPr>
          <w:rFonts w:ascii="Arial" w:hAnsi="Arial" w:cs="Arial"/>
        </w:rPr>
        <w:fldChar w:fldCharType="end"/>
      </w:r>
      <w:r w:rsidRPr="00974D61">
        <w:rPr>
          <w:rFonts w:ascii="Arial" w:hAnsi="Arial" w:cs="Arial"/>
        </w:rPr>
        <w:t>), cecal intubation, colonoscope withdrawal time, and colonoscopy findings with histopathology results for any excised or biopsied lesion.  Only the most advanced colorectal epithelial lesion (index lesion) and its location (proximal or distal) was used to categorize participants for the analysis (</w:t>
      </w:r>
      <w:r w:rsidRPr="00974D61">
        <w:rPr>
          <w:rFonts w:ascii="Arial" w:hAnsi="Arial" w:cs="Arial"/>
          <w:b/>
          <w:bCs/>
        </w:rPr>
        <w:t>Supplemental Table 1</w:t>
      </w:r>
      <w:r w:rsidRPr="00974D61">
        <w:rPr>
          <w:rFonts w:ascii="Arial" w:hAnsi="Arial" w:cs="Arial"/>
        </w:rPr>
        <w:t xml:space="preserve">), with the larger or more </w:t>
      </w:r>
      <w:proofErr w:type="gramStart"/>
      <w:r w:rsidRPr="00974D61">
        <w:rPr>
          <w:rFonts w:ascii="Arial" w:hAnsi="Arial" w:cs="Arial"/>
        </w:rPr>
        <w:t>histologically-advanced</w:t>
      </w:r>
      <w:proofErr w:type="gramEnd"/>
      <w:r w:rsidRPr="00974D61">
        <w:rPr>
          <w:rFonts w:ascii="Arial" w:hAnsi="Arial" w:cs="Arial"/>
        </w:rPr>
        <w:t xml:space="preserve"> finding among multiple findings designated as the index lesion.  The proximal colon was defined as the splenic flexure and all segments proximal to it, an insertion depth of &gt;60 cm, or any part described by the phrase “right colon” or “proximal colon”.  The distal colon was considered to include all other segments, an insertion depth of ≤60 cm, or any part described by the phrase “left colon” or “distal colon”.  Subjects with a poor-quality bowel preparation (after washing and suctioning) were allowed to repeat the colonoscopy if the endoscopist believed it was in the subject’s best interest clinically (poor-quality was defined as large amounts of debris with &lt;90% of the surface examined).  Participants repeated the colonoscopy only if the second procedure fell within the 90-day window.</w:t>
      </w:r>
    </w:p>
    <w:p w14:paraId="62BBB5A5" w14:textId="77777777" w:rsidR="00CA7683" w:rsidRPr="00974D61" w:rsidRDefault="00CA7683" w:rsidP="00CA7683">
      <w:pPr>
        <w:spacing w:after="0" w:line="480" w:lineRule="auto"/>
        <w:ind w:firstLine="720"/>
        <w:rPr>
          <w:rFonts w:ascii="Arial" w:hAnsi="Arial" w:cs="Arial"/>
        </w:rPr>
      </w:pPr>
      <w:r w:rsidRPr="00974D61">
        <w:rPr>
          <w:rFonts w:ascii="Arial" w:hAnsi="Arial" w:cs="Arial"/>
        </w:rPr>
        <w:t>All biopsy and surgical specimens underwent histopathological analysis at the laboratory typically used by each study site.  Polyps with high grade dysplasia or 25% or more villous elements in adenomas measuring less than 1 cm, as well as sessile serrated or hyperplastic polyps measuring 1 cm or larger, were re-reviewed centrally by a gastrointestinal pathologist who was blinded to mt-</w:t>
      </w:r>
      <w:proofErr w:type="spellStart"/>
      <w:r w:rsidRPr="00974D61">
        <w:rPr>
          <w:rFonts w:ascii="Arial" w:hAnsi="Arial" w:cs="Arial"/>
        </w:rPr>
        <w:t>sDNA</w:t>
      </w:r>
      <w:proofErr w:type="spellEnd"/>
      <w:r w:rsidRPr="00974D61">
        <w:rPr>
          <w:rFonts w:ascii="Arial" w:hAnsi="Arial" w:cs="Arial"/>
        </w:rPr>
        <w:t xml:space="preserve"> test results.  Diagnostic disagreements were resolved by </w:t>
      </w:r>
      <w:r w:rsidRPr="00974D61">
        <w:rPr>
          <w:rFonts w:ascii="Arial" w:hAnsi="Arial" w:cs="Arial"/>
        </w:rPr>
        <w:lastRenderedPageBreak/>
        <w:t>consensus of at least two central pathologists.  A colonoscopy that identified a CRC or advanced precancerous lesions was included in the analyses, even if limited by extent of examination or quality of bowel prep.  Participants whose lesions could not be confirmed by histology (e.g., due to no biopsy or lost biopsy during retrieval) were excluded from the study since they could not be categorized for the primary or secondary analyses.</w:t>
      </w:r>
    </w:p>
    <w:p w14:paraId="5DCA717E" w14:textId="4996F93B" w:rsidR="00CA7683" w:rsidRPr="00974D61" w:rsidRDefault="00CA7683" w:rsidP="00CA7683">
      <w:pPr>
        <w:rPr>
          <w:rFonts w:ascii="Arial" w:hAnsi="Arial" w:cs="Arial"/>
        </w:rPr>
      </w:pPr>
    </w:p>
    <w:p w14:paraId="141101A9" w14:textId="77777777" w:rsidR="00CA7683" w:rsidRPr="00974D61" w:rsidRDefault="00CA7683" w:rsidP="00CA7683">
      <w:pPr>
        <w:spacing w:after="0" w:line="480" w:lineRule="auto"/>
        <w:rPr>
          <w:rFonts w:ascii="Arial" w:hAnsi="Arial" w:cs="Arial"/>
          <w:b/>
        </w:rPr>
      </w:pPr>
      <w:r w:rsidRPr="00974D61">
        <w:rPr>
          <w:rFonts w:ascii="Arial" w:hAnsi="Arial" w:cs="Arial"/>
          <w:b/>
        </w:rPr>
        <w:t>Mt-</w:t>
      </w:r>
      <w:proofErr w:type="spellStart"/>
      <w:r w:rsidRPr="00974D61">
        <w:rPr>
          <w:rFonts w:ascii="Arial" w:hAnsi="Arial" w:cs="Arial"/>
          <w:b/>
        </w:rPr>
        <w:t>sDNA</w:t>
      </w:r>
      <w:proofErr w:type="spellEnd"/>
      <w:r w:rsidRPr="00974D61">
        <w:rPr>
          <w:rFonts w:ascii="Arial" w:hAnsi="Arial" w:cs="Arial"/>
          <w:b/>
        </w:rPr>
        <w:t xml:space="preserve"> Sample Processing &amp; Laboratory Procedures</w:t>
      </w:r>
    </w:p>
    <w:p w14:paraId="6B797B05" w14:textId="77777777" w:rsidR="00CA7683" w:rsidRPr="00974D61" w:rsidRDefault="00CA7683" w:rsidP="00CA7683">
      <w:pPr>
        <w:autoSpaceDE w:val="0"/>
        <w:autoSpaceDN w:val="0"/>
        <w:adjustRightInd w:val="0"/>
        <w:spacing w:after="0" w:line="480" w:lineRule="auto"/>
        <w:ind w:firstLine="720"/>
        <w:rPr>
          <w:rFonts w:ascii="Arial" w:hAnsi="Arial" w:cs="Arial"/>
        </w:rPr>
      </w:pPr>
      <w:r w:rsidRPr="00974D61">
        <w:rPr>
          <w:rFonts w:ascii="Arial" w:hAnsi="Arial" w:cs="Arial"/>
        </w:rPr>
        <w:t>All stool samples were delivered by express shipping to Exact Sciences Laboratories (Madison, WI) for processing.  Incoming samples were inspected for acceptability per the laboratory’s standard operating procedure.  For samples not collected according to the instructions for use or if there was no valid test result (e.g., “no result obtained”, or “sample could not be processed”), a repeat sample was requested.  Valid mt-</w:t>
      </w:r>
      <w:proofErr w:type="spellStart"/>
      <w:r w:rsidRPr="00974D61">
        <w:rPr>
          <w:rFonts w:ascii="Arial" w:hAnsi="Arial" w:cs="Arial"/>
        </w:rPr>
        <w:t>sDNA</w:t>
      </w:r>
      <w:proofErr w:type="spellEnd"/>
      <w:r w:rsidRPr="00974D61">
        <w:rPr>
          <w:rFonts w:ascii="Arial" w:hAnsi="Arial" w:cs="Arial"/>
        </w:rPr>
        <w:t xml:space="preserve"> test results were recorded as either “positive” or “negative”.  If a valid sample result could not be obtained for a subject at T</w:t>
      </w:r>
      <w:r w:rsidRPr="00974D61">
        <w:rPr>
          <w:rFonts w:ascii="Arial" w:hAnsi="Arial" w:cs="Arial"/>
          <w:vertAlign w:val="subscript"/>
        </w:rPr>
        <w:t>0</w:t>
      </w:r>
      <w:r w:rsidRPr="00974D61">
        <w:rPr>
          <w:rFonts w:ascii="Arial" w:hAnsi="Arial" w:cs="Arial"/>
        </w:rPr>
        <w:t xml:space="preserve"> after multiple attempts, the subject was withdrawn from the study and an additional participant was enrolled.</w:t>
      </w:r>
    </w:p>
    <w:p w14:paraId="2E716BB9" w14:textId="57D95F0A" w:rsidR="00CA7683" w:rsidRPr="00974D61" w:rsidRDefault="00CA7683" w:rsidP="00CA7683">
      <w:pPr>
        <w:autoSpaceDE w:val="0"/>
        <w:autoSpaceDN w:val="0"/>
        <w:adjustRightInd w:val="0"/>
        <w:spacing w:after="0" w:line="480" w:lineRule="auto"/>
        <w:ind w:firstLine="720"/>
        <w:rPr>
          <w:rFonts w:ascii="Arial" w:hAnsi="Arial" w:cs="Arial"/>
        </w:rPr>
      </w:pPr>
      <w:r w:rsidRPr="00974D61">
        <w:rPr>
          <w:rFonts w:ascii="Arial" w:hAnsi="Arial" w:cs="Arial"/>
        </w:rPr>
        <w:t>All accepted samples were collected per Exact Sciences mt-</w:t>
      </w:r>
      <w:proofErr w:type="spellStart"/>
      <w:r w:rsidRPr="00974D61">
        <w:rPr>
          <w:rFonts w:ascii="Arial" w:hAnsi="Arial" w:cs="Arial"/>
        </w:rPr>
        <w:t>sDNA</w:t>
      </w:r>
      <w:proofErr w:type="spellEnd"/>
      <w:r w:rsidRPr="00974D61">
        <w:rPr>
          <w:rFonts w:ascii="Arial" w:hAnsi="Arial" w:cs="Arial"/>
        </w:rPr>
        <w:t>-based Colorectal Cancer Screening Test instructions for use</w:t>
      </w:r>
      <w:r w:rsidRPr="00974D61">
        <w:rPr>
          <w:rFonts w:ascii="Arial" w:hAnsi="Arial" w:cs="Arial"/>
        </w:rPr>
        <w:fldChar w:fldCharType="begin" w:fldLock="1"/>
      </w:r>
      <w:r w:rsidR="00970BF2">
        <w:rPr>
          <w:rFonts w:ascii="Arial" w:hAnsi="Arial" w:cs="Arial"/>
        </w:rPr>
        <w:instrText>ADDIN CSL_CITATION {"citationItems":[{"id":"ITEM-1","itemData":{"author":[{"dropping-particle":"","family":"Exact Sciences Corporation LLC","given":"","non-dropping-particle":"","parse-names":false,"suffix":""}],"id":"ITEM-1","issued":{"date-parts":[["0"]]},"title":"Cologuard ® Physician Brochure","type":"report"},"uris":["http://www.mendeley.com/documents/?uuid=d314e9ba-973f-38f4-9fcb-7ea995382271"]}],"mendeley":{"formattedCitation":"&lt;sup&gt;2&lt;/sup&gt;","plainTextFormattedCitation":"2","previouslyFormattedCitation":"[1]"},"properties":{"noteIndex":0},"schema":"https://github.com/citation-style-language/schema/raw/master/csl-citation.json"}</w:instrText>
      </w:r>
      <w:r w:rsidRPr="00974D61">
        <w:rPr>
          <w:rFonts w:ascii="Arial" w:hAnsi="Arial" w:cs="Arial"/>
        </w:rPr>
        <w:fldChar w:fldCharType="separate"/>
      </w:r>
      <w:r w:rsidR="00970BF2" w:rsidRPr="00970BF2">
        <w:rPr>
          <w:rFonts w:ascii="Arial" w:hAnsi="Arial" w:cs="Arial"/>
          <w:noProof/>
          <w:vertAlign w:val="superscript"/>
        </w:rPr>
        <w:t>2</w:t>
      </w:r>
      <w:r w:rsidRPr="00974D61">
        <w:rPr>
          <w:rFonts w:ascii="Arial" w:hAnsi="Arial" w:cs="Arial"/>
        </w:rPr>
        <w:fldChar w:fldCharType="end"/>
      </w:r>
      <w:r w:rsidRPr="00974D61">
        <w:rPr>
          <w:rFonts w:ascii="Arial" w:hAnsi="Arial" w:cs="Arial"/>
        </w:rPr>
        <w:t>.  A positive mt</w:t>
      </w:r>
      <w:r w:rsidRPr="00974D61">
        <w:rPr>
          <w:rFonts w:ascii="Arial" w:hAnsi="Arial" w:cs="Arial"/>
        </w:rPr>
        <w:noBreakHyphen/>
      </w:r>
      <w:proofErr w:type="spellStart"/>
      <w:r w:rsidRPr="00974D61">
        <w:rPr>
          <w:rFonts w:ascii="Arial" w:hAnsi="Arial" w:cs="Arial"/>
        </w:rPr>
        <w:t>sDNA</w:t>
      </w:r>
      <w:proofErr w:type="spellEnd"/>
      <w:r w:rsidRPr="00974D61">
        <w:rPr>
          <w:rFonts w:ascii="Arial" w:hAnsi="Arial" w:cs="Arial"/>
        </w:rPr>
        <w:t xml:space="preserve"> test result was based on the FDA-approved logistic regression algorithm threshold score of </w:t>
      </w:r>
      <w:r w:rsidRPr="00974D61">
        <w:rPr>
          <w:rFonts w:ascii="Arial" w:hAnsi="Arial" w:cs="Arial"/>
        </w:rPr>
        <w:sym w:font="Symbol" w:char="F0B3"/>
      </w:r>
      <w:r w:rsidRPr="00974D61">
        <w:rPr>
          <w:rFonts w:ascii="Arial" w:hAnsi="Arial" w:cs="Arial"/>
        </w:rPr>
        <w:t>183; the algorithm is published as supplemental material</w:t>
      </w:r>
      <w:r w:rsidRPr="00974D61">
        <w:rPr>
          <w:rFonts w:ascii="Arial" w:hAnsi="Arial" w:cs="Arial"/>
        </w:rPr>
        <w:fldChar w:fldCharType="begin" w:fldLock="1"/>
      </w:r>
      <w:r w:rsidR="00970BF2">
        <w:rPr>
          <w:rFonts w:ascii="Arial" w:hAnsi="Arial" w:cs="Arial"/>
        </w:rPr>
        <w:instrText>ADDIN CSL_CITATION {"citationItems":[{"id":"ITEM-1","itemData":{"DOI":"10.1056/nejmoa1311194","ISSN":"0028-4793","PMID":"24645800","abstract":"BACKGROUND: An accurate, noninvasive test could improve the effectiveness of colorectal-cancer screening. METHODS: We compared a noninvasive, multitarget stool DNA test with a fecal immunochemical test (FIT) in persons at average risk for colorectal cancer. The DNA test includes quantitative molecular assays for KRAS mutations, aberrant NDRG4 and BMP3 methylation, and β-actin, plus a hemoglobin immunoassay. Results were generated with the use of a logistic-regression algorithm, with values of 183 or more considered to be positive. FIT values of more than 100 ng of hemoglobin per milliliter of buffer were considered to be positive. Tests were processed independently of colonoscopic findings. RESULTS: Of the 9989 participants who could be evaluated, 65 (0.7%) had colorectal cancer and 757 (7.6%) had advanced precancerous lesions (advanced adenomas or sessile serrated polyps measuring ≥1 cm in the greatest dimension) on colonoscopy. The sensitivity for detecting colorectal cancer was 92.3% with DNA testing and 73.8% with FIT (P = 0.002). The sensitivity for detecting advanced precancerous lesions was 42.4% with DNA testing and 23.8% with FIT (P&lt;0.001). The rate of detection of polyps with high-grade dysplasia was 69.2% with DNA testing and 46.2% with FIT (P = 0.004); the rates of detection of serrated sessile polyps measuring 1 cm or more were 42.4% and 5.1%, respectively (P&lt;0.001). Specificities with DNA testing and FIT were 86.6% and 94.9%, respectively, among participants with nonadvanced or negative findings (P&lt;0.001) and 89.8% and 96.4%, respectively, among those with negative results on colonoscopy (P&lt;0.001). The numbers of persons who would need to be screened to detect one cancer were 154 with colonoscopy, 166 with DNA testing, and 208 with FIT. CONCLUSIONS: In asymptomatic persons at average risk for colorectal cancer, multitarget stool DNA testing detected significantly more cancers than did FIT but had more false positive results. Copyright © 2014 Massachusetts Medical Society.","author":[{"dropping-particle":"","family":"Imperiale","given":"Thomas F.","non-dropping-particle":"","parse-names":false,"suffix":""},{"dropping-particle":"","family":"Ransohoff","given":"David F.","non-dropping-particle":"","parse-names":false,"suffix":""},{"dropping-particle":"","family":"Itzkowitz","given":"Steven H.","non-dropping-particle":"","parse-names":false,"suffix":""},{"dropping-particle":"","family":"Levin","given":"Theodore R.","non-dropping-particle":"","parse-names":false,"suffix":""},{"dropping-particle":"","family":"Lavin","given":"Philip","non-dropping-particle":"","parse-names":false,"suffix":""},{"dropping-particle":"","family":"Lidgard","given":"Graham P.","non-dropping-particle":"","parse-names":false,"suffix":""},{"dropping-particle":"","family":"Ahlquist","given":"David A.","non-dropping-particle":"","parse-names":false,"suffix":""},{"dropping-particle":"","family":"Berger","given":"Barry M.","non-dropping-particle":"","parse-names":false,"suffix":""}],"container-title":"New England Journal of Medicine","id":"ITEM-1","issue":"14","issued":{"date-parts":[["2014","4","3"]]},"page":"1287-1297","publisher":"New England Journal of Medicine (NEJM/MMS)","title":"Multitarget Stool DNA Testing for Colorectal-Cancer Screening","type":"article-journal","volume":"370"},"uris":["http://www.mendeley.com/documents/?uuid=2155ce87-4868-3daa-b32a-e0c0f2b7818d"]},{"id":"ITEM-2","itemData":{"DOI":"10.1056/NEJMoa1311194","abstract":"This appendix has been provided by the authors to give readers additional information about their work. Supplement to: Imperiale TF, Ransohoff DF, Itzkowitz SH, et al. Multitarget stool DNA testing for colorectal-cancer screening.","author":[{"dropping-particle":"","family":"Imperiale","given":"Thomas","non-dropping-particle":"","parse-names":false,"suffix":""},{"dropping-particle":"","family":"Ransohoff","given":"David","non-dropping-particle":"","parse-names":false,"suffix":""},{"dropping-particle":"","family":"Itzkowitz","given":"Steven","non-dropping-particle":"","parse-names":false,"suffix":""},{"dropping-particle":"","family":"Levin","given":"Theodore","non-dropping-particle":"","parse-names":false,"suffix":""},{"dropping-particle":"","family":"Lavin","given":"Phillip","non-dropping-particle":"","parse-names":false,"suffix":""},{"dropping-particle":"","family":"Lidgard","given":"Graham","non-dropping-particle":"","parse-names":false,"suffix":""},{"dropping-particle":"","family":"Ahlquist","given":"David","non-dropping-particle":"","parse-names":false,"suffix":""},{"dropping-particle":"","family":"Berger","given":"Barry","non-dropping-particle":"","parse-names":false,"suffix":""}],"container-title":"New England Journal of Medicine","id":"ITEM-2","issued":{"date-parts":[["2014","4","3"]]},"page":"-","title":"Supplement to Multitarget Stool DNA Testing for Colorectal-Cancer Screening","type":"article-journal"},"uris":["http://www.mendeley.com/documents/?uuid=aec5edc2-6e24-3360-97b3-fd87a31a3bb5"]}],"mendeley":{"formattedCitation":"&lt;sup&gt;3,4&lt;/sup&gt;","plainTextFormattedCitation":"3,4","previouslyFormattedCitation":"[2,3]"},"properties":{"noteIndex":0},"schema":"https://github.com/citation-style-language/schema/raw/master/csl-citation.json"}</w:instrText>
      </w:r>
      <w:r w:rsidRPr="00974D61">
        <w:rPr>
          <w:rFonts w:ascii="Arial" w:hAnsi="Arial" w:cs="Arial"/>
        </w:rPr>
        <w:fldChar w:fldCharType="separate"/>
      </w:r>
      <w:r w:rsidR="00970BF2" w:rsidRPr="00970BF2">
        <w:rPr>
          <w:rFonts w:ascii="Arial" w:hAnsi="Arial" w:cs="Arial"/>
          <w:noProof/>
          <w:vertAlign w:val="superscript"/>
        </w:rPr>
        <w:t>3,4</w:t>
      </w:r>
      <w:r w:rsidRPr="00974D61">
        <w:rPr>
          <w:rFonts w:ascii="Arial" w:hAnsi="Arial" w:cs="Arial"/>
        </w:rPr>
        <w:fldChar w:fldCharType="end"/>
      </w:r>
      <w:r w:rsidRPr="00974D61">
        <w:rPr>
          <w:rFonts w:ascii="Arial" w:hAnsi="Arial" w:cs="Arial"/>
        </w:rPr>
        <w:t>.  The mt-</w:t>
      </w:r>
      <w:proofErr w:type="spellStart"/>
      <w:r w:rsidRPr="00974D61">
        <w:rPr>
          <w:rFonts w:ascii="Arial" w:hAnsi="Arial" w:cs="Arial"/>
        </w:rPr>
        <w:t>sDNA</w:t>
      </w:r>
      <w:proofErr w:type="spellEnd"/>
      <w:r w:rsidRPr="00974D61">
        <w:rPr>
          <w:rFonts w:ascii="Arial" w:hAnsi="Arial" w:cs="Arial"/>
        </w:rPr>
        <w:t xml:space="preserve"> test is a qualitative, dichotomously-reported test, the component values of which are not reported separately</w:t>
      </w:r>
      <w:r w:rsidRPr="00974D61">
        <w:rPr>
          <w:rFonts w:ascii="Arial" w:hAnsi="Arial" w:cs="Arial"/>
        </w:rPr>
        <w:fldChar w:fldCharType="begin" w:fldLock="1"/>
      </w:r>
      <w:r w:rsidR="00970BF2">
        <w:rPr>
          <w:rFonts w:ascii="Arial" w:hAnsi="Arial" w:cs="Arial"/>
        </w:rPr>
        <w:instrText>ADDIN CSL_CITATION {"citationItems":[{"id":"ITEM-1","itemData":{"author":[{"dropping-particle":"","family":"Exact Sciences Corporation LLC","given":"","non-dropping-particle":"","parse-names":false,"suffix":""}],"id":"ITEM-1","issued":{"date-parts":[["0"]]},"title":"Cologuard ® Physician Brochure","type":"report"},"uris":["http://www.mendeley.com/documents/?uuid=d314e9ba-973f-38f4-9fcb-7ea995382271"]}],"mendeley":{"formattedCitation":"&lt;sup&gt;2&lt;/sup&gt;","plainTextFormattedCitation":"2","previouslyFormattedCitation":"[1]"},"properties":{"noteIndex":0},"schema":"https://github.com/citation-style-language/schema/raw/master/csl-citation.json"}</w:instrText>
      </w:r>
      <w:r w:rsidRPr="00974D61">
        <w:rPr>
          <w:rFonts w:ascii="Arial" w:hAnsi="Arial" w:cs="Arial"/>
        </w:rPr>
        <w:fldChar w:fldCharType="separate"/>
      </w:r>
      <w:r w:rsidR="00970BF2" w:rsidRPr="00970BF2">
        <w:rPr>
          <w:rFonts w:ascii="Arial" w:hAnsi="Arial" w:cs="Arial"/>
          <w:noProof/>
          <w:vertAlign w:val="superscript"/>
        </w:rPr>
        <w:t>2</w:t>
      </w:r>
      <w:r w:rsidRPr="00974D61">
        <w:rPr>
          <w:rFonts w:ascii="Arial" w:hAnsi="Arial" w:cs="Arial"/>
        </w:rPr>
        <w:fldChar w:fldCharType="end"/>
      </w:r>
      <w:r w:rsidRPr="00974D61">
        <w:rPr>
          <w:rFonts w:ascii="Arial" w:hAnsi="Arial" w:cs="Arial"/>
        </w:rPr>
        <w:t>.  The test includes molecular assays for aberrantly methylated BMP3 and NDRG4 promoter regions, mutant KRAS, and ß-actin (a control gene for DNA quantity), as well as an immunochemical assay for human hemoglobin, none of which have individually reported thresholds or cutoffs.</w:t>
      </w:r>
    </w:p>
    <w:p w14:paraId="15CCFCA0" w14:textId="4DEC40F5" w:rsidR="00CA7683" w:rsidRPr="00974D61" w:rsidRDefault="00CA7683" w:rsidP="00CA7683">
      <w:pPr>
        <w:spacing w:after="0" w:line="480" w:lineRule="auto"/>
        <w:ind w:firstLine="720"/>
        <w:rPr>
          <w:rFonts w:ascii="Arial" w:hAnsi="Arial" w:cs="Arial"/>
          <w:lang w:bidi="he-IL"/>
        </w:rPr>
      </w:pPr>
      <w:r w:rsidRPr="00974D61">
        <w:rPr>
          <w:rFonts w:ascii="Arial" w:hAnsi="Arial" w:cs="Arial"/>
          <w:i/>
          <w:iCs/>
          <w:lang w:bidi="he-IL"/>
        </w:rPr>
        <w:t>Exploratory analysis</w:t>
      </w:r>
      <w:r w:rsidRPr="00974D61">
        <w:rPr>
          <w:rFonts w:ascii="Arial" w:hAnsi="Arial" w:cs="Arial"/>
          <w:lang w:bidi="he-IL"/>
        </w:rPr>
        <w:t xml:space="preserve">. The primary analysis was estimated on non-missing data. However, to explore the impact of missingness when verification of disease is potentially biased, two exploratory analyses were performed.  First, the potential mechanisms of missingness were </w:t>
      </w:r>
      <w:r w:rsidRPr="00974D61">
        <w:rPr>
          <w:rFonts w:ascii="Arial" w:hAnsi="Arial" w:cs="Arial"/>
          <w:lang w:bidi="he-IL"/>
        </w:rPr>
        <w:lastRenderedPageBreak/>
        <w:t>assessed by constructing a Test Ignorance Region (TIR), which provides the range of performance statistics across all possible incidence rates of disease (ranging from 0 to 1) in those with missing disease verification</w:t>
      </w:r>
      <w:r w:rsidRPr="00974D61">
        <w:rPr>
          <w:rFonts w:ascii="Arial" w:hAnsi="Arial" w:cs="Arial"/>
          <w:lang w:bidi="he-IL"/>
        </w:rPr>
        <w:fldChar w:fldCharType="begin" w:fldLock="1"/>
      </w:r>
      <w:r w:rsidR="00970BF2">
        <w:rPr>
          <w:rFonts w:ascii="Arial" w:hAnsi="Arial" w:cs="Arial"/>
          <w:lang w:bidi="he-IL"/>
        </w:rPr>
        <w:instrText>ADDIN CSL_CITATION {"citationItems":[{"id":"ITEM-1","itemData":{"DOI":"10.1002/sim.1517","ISSN":"02776715","PMID":"12939781","abstract":"Current advances in technology provide less invasive or less expensive diagnostic tests for identifying disease status. When a diagnostic test is evaluated against an invasive or expensive gold standard test, one often finds that not all patients undergo the gold standard test. The sensitivity and specificity estimates based only on the patients with verified disease are often biased. This bias is called verification bias. Many authors have examined the consequences of verification bias and have proposed bias correction methods based on the assumption of independence between disease status and election for verification conditionally on the test result, or equivalently on the assumption that the disease status is missing at random using missing data terminology. This assumption may not be valid and one may need to consider adjustment for a possible non-ignorable verification bias resulting from the non-ignorable missing data mechanism. Such an adjustment involves ultimately uncheckable assumptions and requires sensitivity analysis. The sensitivity analysis is most often accomplished by perturbing parameters in the chosen model for the missing data mechanism, and it has a local flavour because perturbations are around the fitted model. In this paper we propose a global sensitivity analysis for assessing performance of a diagnostic test in the presence of verification bias. We derive a region of all sensitivity and specificity values consistent with the observed data and call this region a test ignorance region (TIR). The term 'ignorance' refers to the lack of knowledge due to the missing disease status for the not verified patients. The methodology is illustrated with two clinical examples. Copyright © 2003 John Wiley &amp; Sons, Ltd.","author":[{"dropping-particle":"","family":"Kosinski","given":"Andrzej S.","non-dropping-particle":"","parse-names":false,"suffix":""},{"dropping-particle":"","family":"Barnhart","given":"Huiman X.","non-dropping-particle":"","parse-names":false,"suffix":""}],"container-title":"Statistics in Medicine","id":"ITEM-1","issue":"17","issued":{"date-parts":[["2003","9","15"]]},"page":"2711-2721","publisher":"Stat Med","title":"A global sensitivity analysis of performance of a medical diagnostic test when verification bias is present","type":"article-journal","volume":"22"},"uris":["http://www.mendeley.com/documents/?uuid=a8f1f016-3709-3c00-938b-8e92cd869042"]}],"mendeley":{"formattedCitation":"&lt;sup&gt;5&lt;/sup&gt;","plainTextFormattedCitation":"5","previouslyFormattedCitation":"[5]"},"properties":{"noteIndex":0},"schema":"https://github.com/citation-style-language/schema/raw/master/csl-citation.json"}</w:instrText>
      </w:r>
      <w:r w:rsidRPr="00974D61">
        <w:rPr>
          <w:rFonts w:ascii="Arial" w:hAnsi="Arial" w:cs="Arial"/>
          <w:lang w:bidi="he-IL"/>
        </w:rPr>
        <w:fldChar w:fldCharType="separate"/>
      </w:r>
      <w:r w:rsidR="00970BF2" w:rsidRPr="00970BF2">
        <w:rPr>
          <w:rFonts w:ascii="Arial" w:hAnsi="Arial" w:cs="Arial"/>
          <w:noProof/>
          <w:vertAlign w:val="superscript"/>
          <w:lang w:bidi="he-IL"/>
        </w:rPr>
        <w:t>5</w:t>
      </w:r>
      <w:r w:rsidRPr="00974D61">
        <w:rPr>
          <w:rFonts w:ascii="Arial" w:hAnsi="Arial" w:cs="Arial"/>
          <w:lang w:bidi="he-IL"/>
        </w:rPr>
        <w:fldChar w:fldCharType="end"/>
      </w:r>
      <w:r w:rsidRPr="00974D61">
        <w:rPr>
          <w:rFonts w:ascii="Arial" w:hAnsi="Arial" w:cs="Arial"/>
          <w:lang w:bidi="he-IL"/>
        </w:rPr>
        <w:t xml:space="preserve">.  The TIR was evaluated with respect to two different aspects of missingness.  Missing completely at random (MCAR) assumes that missingness was not dependent on any patient-specific factors; under MCAR, one assumes that the estimates are unbiased.  However, with the presence of verification bias, it was unlikely that MCAR would be an appropriate assumption.  Alternatively, missing at random (MAR) assumes that the prevalence of disease in the unverified subset is the same as observed in the verified subset.  Performance estimates under the assumption of MCAR and MAR were plotted against the TIR to determine the acceptability of the corresponding mechanism of missingness.  </w:t>
      </w:r>
    </w:p>
    <w:p w14:paraId="740440A4" w14:textId="1A0222AE" w:rsidR="00CA7683" w:rsidRPr="00974D61" w:rsidRDefault="00CA7683" w:rsidP="00CA7683">
      <w:pPr>
        <w:spacing w:after="0" w:line="480" w:lineRule="auto"/>
        <w:ind w:firstLine="720"/>
        <w:rPr>
          <w:rFonts w:ascii="Arial" w:hAnsi="Arial" w:cs="Arial"/>
          <w:lang w:bidi="he-IL"/>
        </w:rPr>
      </w:pPr>
      <w:r w:rsidRPr="00974D61">
        <w:rPr>
          <w:rFonts w:ascii="Arial" w:hAnsi="Arial" w:cs="Arial"/>
          <w:lang w:bidi="he-IL"/>
        </w:rPr>
        <w:t>Second, missing data on mt-</w:t>
      </w:r>
      <w:proofErr w:type="spellStart"/>
      <w:r w:rsidRPr="00974D61">
        <w:rPr>
          <w:rFonts w:ascii="Arial" w:hAnsi="Arial" w:cs="Arial"/>
          <w:lang w:bidi="he-IL"/>
        </w:rPr>
        <w:t>sDNA</w:t>
      </w:r>
      <w:proofErr w:type="spellEnd"/>
      <w:r w:rsidRPr="00974D61">
        <w:rPr>
          <w:rFonts w:ascii="Arial" w:hAnsi="Arial" w:cs="Arial"/>
          <w:lang w:bidi="he-IL"/>
        </w:rPr>
        <w:t xml:space="preserve"> outcome and CRC/advanced precancerous lesion occurrence were imputed using other available observed study data.  Based on exclusion patterns, demographic data such as age, sex, race, and ethnicity were considered for imputing missing data</w:t>
      </w:r>
      <w:r w:rsidRPr="00974D61">
        <w:rPr>
          <w:rFonts w:ascii="Arial" w:hAnsi="Arial" w:cs="Arial"/>
          <w:lang w:bidi="he-IL"/>
        </w:rPr>
        <w:fldChar w:fldCharType="begin" w:fldLock="1"/>
      </w:r>
      <w:r w:rsidR="00970BF2">
        <w:rPr>
          <w:rFonts w:ascii="Arial" w:hAnsi="Arial" w:cs="Arial"/>
          <w:lang w:bidi="he-IL"/>
        </w:rPr>
        <w:instrText>ADDIN CSL_CITATION {"citationItems":[{"id":"ITEM-1","itemData":{"DOI":"10.2307/1165119","ISSN":"03629791","abstract":"Emphasizes the latest trends in the field. Includes a new chapter on evolving methods. Provides updated or revised material in most of the chapters.","author":[{"dropping-particle":"","family":"Little","given":"Roderick J. A.","non-dropping-particle":"","parse-names":false,"suffix":""},{"dropping-particle":"","family":"Rubin","given":"Donald B.","non-dropping-particle":"","parse-names":false,"suffix":""}],"container-title":"Journal of Educational Statistics","editor":[{"dropping-particle":"","family":"Rubin","given":"Donald B","non-dropping-particle":"","parse-names":false,"suffix":""},{"dropping-particle":"","family":"Little","given":"Roderick J A","non-dropping-particle":"","parse-names":false,"suffix":""}],"id":"ITEM-1","issue":"2","issued":{"date-parts":[["1991","7","26"]]},"page":"150","publisher":"[Sage Publications, Inc., American Educational Research Association, American Statistical Association]","title":"Statistical Analysis with Missing Data","type":"article-journal","volume":"16"},"uris":["http://www.mendeley.com/documents/?uuid=bf192cab-e8ee-42bc-bab7-cba80b2a98dc"]},{"id":"ITEM-2","itemData":{"DOI":"10.1016/S0895-4356(96)00236-3","ISSN":"0895-4356","PMID":"8970487","abstract":"We performed a Monte Carlo study to evaluate the effect of the number of events per variable (EPV) analyzed in logistic regression analysis. The simulations were based on data from a cardiac trial of 673 patients in which 252 deaths occurred and seven variables were cogent predictors of mortality; the number of events per predictive variable was (252/7 =) 36 for the full sample. For the simulations, at values of EPV = 2, 5, 10, 15, 20, and 25, we randomly generated 500 samples of the 673 patients, chosen with replacement, according to a logistic model derived from the full sample. Simulation results for the regression coefficients for each variable in each group of 500 samples were compared for bias, precision, and significance testing against the results of the model fitted to the original sample. For EPV values of 10 or greater, no major problems occurred. For EPV values less than 10, however, the regression coefficients were biased in both positive and negative directions; the large sample variance estimates from the logistic model both overestimated and underestimated the sample variance of the regression coefficients; the 90% confidence limits about the estimated values did not have proper coverage; the Wald statistic was conservative under the null hypothesis; and paradoxical associations (significance in the wrong direction) were increased. Although other factors (such as the total number of events, or sample size) may influence the validity of the logistic model, our findings indicate that low EPV can lead to major problems.","author":[{"dropping-particle":"","family":"Peduzzi","given":"P","non-dropping-particle":"","parse-names":false,"suffix":""},{"dropping-particle":"","family":"Concato","given":"J","non-dropping-particle":"","parse-names":false,"suffix":""},{"dropping-particle":"","family":"Kemper","given":"E","non-dropping-particle":"","parse-names":false,"suffix":""},{"dropping-particle":"","family":"Holford","given":"TR","non-dropping-particle":"","parse-names":false,"suffix":""},{"dropping-particle":"","family":"Feinstein","given":"AR","non-dropping-particle":"","parse-names":false,"suffix":""}],"container-title":"Journal of clinical epidemiology","id":"ITEM-2","issue":"12","issued":{"date-parts":[["1996","12"]]},"page":"1373-1379","publisher":"J Clin Epidemiol","title":"A simulation study of the number of events per variable in logistic regression analysis","type":"article-journal","volume":"49"},"uris":["http://www.mendeley.com/documents/?uuid=58805f3d-20b9-3415-bb1d-8c6ceca68e03"]}],"mendeley":{"formattedCitation":"&lt;sup&gt;6,7&lt;/sup&gt;","plainTextFormattedCitation":"6,7","previouslyFormattedCitation":"[6,7]"},"properties":{"noteIndex":0},"schema":"https://github.com/citation-style-language/schema/raw/master/csl-citation.json"}</w:instrText>
      </w:r>
      <w:r w:rsidRPr="00974D61">
        <w:rPr>
          <w:rFonts w:ascii="Arial" w:hAnsi="Arial" w:cs="Arial"/>
          <w:lang w:bidi="he-IL"/>
        </w:rPr>
        <w:fldChar w:fldCharType="separate"/>
      </w:r>
      <w:r w:rsidR="00970BF2" w:rsidRPr="00970BF2">
        <w:rPr>
          <w:rFonts w:ascii="Arial" w:hAnsi="Arial" w:cs="Arial"/>
          <w:noProof/>
          <w:vertAlign w:val="superscript"/>
          <w:lang w:bidi="he-IL"/>
        </w:rPr>
        <w:t>6,7</w:t>
      </w:r>
      <w:r w:rsidRPr="00974D61">
        <w:rPr>
          <w:rFonts w:ascii="Arial" w:hAnsi="Arial" w:cs="Arial"/>
          <w:lang w:bidi="he-IL"/>
        </w:rPr>
        <w:fldChar w:fldCharType="end"/>
      </w:r>
      <w:r w:rsidRPr="00974D61">
        <w:rPr>
          <w:rFonts w:ascii="Arial" w:hAnsi="Arial" w:cs="Arial"/>
          <w:lang w:bidi="he-IL"/>
        </w:rPr>
        <w:t xml:space="preserve"> to estimate the effects of missing data on the primary endpoint, and to determine if the </w:t>
      </w:r>
      <w:r w:rsidR="00612EEB">
        <w:rPr>
          <w:rFonts w:ascii="Arial" w:hAnsi="Arial" w:cs="Arial"/>
          <w:lang w:bidi="he-IL"/>
        </w:rPr>
        <w:t>year 3</w:t>
      </w:r>
      <w:r w:rsidRPr="00974D61">
        <w:rPr>
          <w:rFonts w:ascii="Arial" w:hAnsi="Arial" w:cs="Arial"/>
          <w:lang w:bidi="he-IL"/>
        </w:rPr>
        <w:t xml:space="preserve"> mt-</w:t>
      </w:r>
      <w:proofErr w:type="spellStart"/>
      <w:r w:rsidRPr="00974D61">
        <w:rPr>
          <w:rFonts w:ascii="Arial" w:hAnsi="Arial" w:cs="Arial"/>
          <w:lang w:bidi="he-IL"/>
        </w:rPr>
        <w:t>sDNA</w:t>
      </w:r>
      <w:proofErr w:type="spellEnd"/>
      <w:r w:rsidRPr="00974D61">
        <w:rPr>
          <w:rFonts w:ascii="Arial" w:hAnsi="Arial" w:cs="Arial"/>
          <w:lang w:bidi="he-IL"/>
        </w:rPr>
        <w:t xml:space="preserve"> result was significantly related to a colonoscopy-detected CRC or advanced precancerous lesion.  Imputations considered age (50-59, 60-69, 70+ years), race (White, other), and mt-</w:t>
      </w:r>
      <w:proofErr w:type="spellStart"/>
      <w:r w:rsidRPr="00974D61">
        <w:rPr>
          <w:rFonts w:ascii="Arial" w:hAnsi="Arial" w:cs="Arial"/>
          <w:lang w:bidi="he-IL"/>
        </w:rPr>
        <w:t>sDNA</w:t>
      </w:r>
      <w:proofErr w:type="spellEnd"/>
      <w:r w:rsidRPr="00974D61">
        <w:rPr>
          <w:rFonts w:ascii="Arial" w:hAnsi="Arial" w:cs="Arial"/>
          <w:lang w:bidi="he-IL"/>
        </w:rPr>
        <w:t xml:space="preserve"> T</w:t>
      </w:r>
      <w:r w:rsidRPr="00974D61">
        <w:rPr>
          <w:rFonts w:ascii="Arial" w:hAnsi="Arial" w:cs="Arial"/>
          <w:vertAlign w:val="subscript"/>
          <w:lang w:bidi="he-IL"/>
        </w:rPr>
        <w:t>3</w:t>
      </w:r>
      <w:r w:rsidRPr="00974D61">
        <w:rPr>
          <w:rFonts w:ascii="Arial" w:hAnsi="Arial" w:cs="Arial"/>
          <w:lang w:bidi="he-IL"/>
        </w:rPr>
        <w:t xml:space="preserve"> results (negative, positive) to infer the percent of true positive, true negative, false positive, and false negative findings using simulation to generate 25 independent random samples.  Since there were no </w:t>
      </w:r>
      <w:r w:rsidR="00612EEB">
        <w:rPr>
          <w:rFonts w:ascii="Arial" w:hAnsi="Arial" w:cs="Arial"/>
          <w:lang w:bidi="he-IL"/>
        </w:rPr>
        <w:t>year 3</w:t>
      </w:r>
      <w:r w:rsidRPr="00974D61">
        <w:rPr>
          <w:rFonts w:ascii="Arial" w:hAnsi="Arial" w:cs="Arial"/>
          <w:vertAlign w:val="subscript"/>
          <w:lang w:bidi="he-IL"/>
        </w:rPr>
        <w:t xml:space="preserve"> </w:t>
      </w:r>
      <w:r w:rsidRPr="00974D61">
        <w:rPr>
          <w:rFonts w:ascii="Arial" w:hAnsi="Arial" w:cs="Arial"/>
          <w:lang w:bidi="he-IL"/>
        </w:rPr>
        <w:t xml:space="preserve">CRC cases for this analysis, advanced precancerous lesion at </w:t>
      </w:r>
      <w:r w:rsidR="00612EEB">
        <w:rPr>
          <w:rFonts w:ascii="Arial" w:hAnsi="Arial" w:cs="Arial"/>
          <w:lang w:bidi="he-IL"/>
        </w:rPr>
        <w:t>year 3</w:t>
      </w:r>
      <w:r w:rsidRPr="00974D61">
        <w:rPr>
          <w:rFonts w:ascii="Arial" w:hAnsi="Arial" w:cs="Arial"/>
          <w:lang w:bidi="he-IL"/>
        </w:rPr>
        <w:t xml:space="preserve"> represent the true state while the positive mt-</w:t>
      </w:r>
      <w:proofErr w:type="spellStart"/>
      <w:r w:rsidRPr="00974D61">
        <w:rPr>
          <w:rFonts w:ascii="Arial" w:hAnsi="Arial" w:cs="Arial"/>
          <w:lang w:bidi="he-IL"/>
        </w:rPr>
        <w:t>sDNA</w:t>
      </w:r>
      <w:proofErr w:type="spellEnd"/>
      <w:r w:rsidRPr="00974D61">
        <w:rPr>
          <w:rFonts w:ascii="Arial" w:hAnsi="Arial" w:cs="Arial"/>
          <w:lang w:bidi="he-IL"/>
        </w:rPr>
        <w:t xml:space="preserve"> tests represent positive tests.  This analysis assumed that data were missing at random and was performed to predict colonoscopy outcome for the subjects with unverified disease after a valid mt-</w:t>
      </w:r>
      <w:proofErr w:type="spellStart"/>
      <w:r w:rsidRPr="00974D61">
        <w:rPr>
          <w:rFonts w:ascii="Arial" w:hAnsi="Arial" w:cs="Arial"/>
          <w:lang w:bidi="he-IL"/>
        </w:rPr>
        <w:t>sDNA</w:t>
      </w:r>
      <w:proofErr w:type="spellEnd"/>
      <w:r w:rsidRPr="00974D61">
        <w:rPr>
          <w:rFonts w:ascii="Arial" w:hAnsi="Arial" w:cs="Arial"/>
          <w:lang w:bidi="he-IL"/>
        </w:rPr>
        <w:t xml:space="preserve"> test result using a logistic model (0=categories 3-6, 1=categories 1-2 (CRC/advanced precancerous lesion).</w:t>
      </w:r>
    </w:p>
    <w:p w14:paraId="494A9E66" w14:textId="6230CE75" w:rsidR="00CA7683" w:rsidRPr="00974D61" w:rsidRDefault="00CA7683" w:rsidP="00CA7683">
      <w:pPr>
        <w:rPr>
          <w:rFonts w:ascii="Arial" w:hAnsi="Arial" w:cs="Arial"/>
        </w:rPr>
      </w:pPr>
    </w:p>
    <w:p w14:paraId="73288FC6" w14:textId="77777777" w:rsidR="004524FD" w:rsidRDefault="004524FD" w:rsidP="00CA7683">
      <w:pPr>
        <w:rPr>
          <w:rFonts w:ascii="Arial" w:hAnsi="Arial" w:cs="Arial"/>
          <w:b/>
          <w:bCs/>
        </w:rPr>
      </w:pPr>
    </w:p>
    <w:p w14:paraId="056D5A84" w14:textId="0D1ED6F1" w:rsidR="00CA7683" w:rsidRPr="00974D61" w:rsidRDefault="00CA7683" w:rsidP="00CA7683">
      <w:pPr>
        <w:rPr>
          <w:rFonts w:ascii="Arial" w:hAnsi="Arial" w:cs="Arial"/>
          <w:b/>
          <w:bCs/>
        </w:rPr>
      </w:pPr>
      <w:r w:rsidRPr="00974D61">
        <w:rPr>
          <w:rFonts w:ascii="Arial" w:hAnsi="Arial" w:cs="Arial"/>
          <w:b/>
          <w:bCs/>
        </w:rPr>
        <w:lastRenderedPageBreak/>
        <w:t>RESULTS</w:t>
      </w:r>
    </w:p>
    <w:p w14:paraId="53335081" w14:textId="46C3DA86" w:rsidR="00CA7683" w:rsidRPr="00974D61" w:rsidRDefault="00CA7683" w:rsidP="00CA7683">
      <w:pPr>
        <w:rPr>
          <w:rFonts w:ascii="Arial" w:hAnsi="Arial" w:cs="Arial"/>
        </w:rPr>
      </w:pPr>
    </w:p>
    <w:p w14:paraId="70C583A9" w14:textId="3CA0D7F0" w:rsidR="00CA7683" w:rsidRPr="00974D61" w:rsidRDefault="00CA7683" w:rsidP="00CA7683">
      <w:pPr>
        <w:spacing w:line="480" w:lineRule="auto"/>
        <w:rPr>
          <w:rFonts w:ascii="Arial" w:hAnsi="Arial" w:cs="Arial"/>
          <w:b/>
          <w:bCs/>
        </w:rPr>
      </w:pPr>
      <w:r w:rsidRPr="004524FD">
        <w:rPr>
          <w:rFonts w:ascii="Arial" w:hAnsi="Arial" w:cs="Arial"/>
          <w:b/>
          <w:bCs/>
        </w:rPr>
        <w:t>S</w:t>
      </w:r>
      <w:r w:rsidR="008A5BAA">
        <w:rPr>
          <w:rFonts w:ascii="Arial" w:hAnsi="Arial" w:cs="Arial"/>
          <w:b/>
          <w:bCs/>
        </w:rPr>
        <w:t xml:space="preserve">ensitivity and Robustness </w:t>
      </w:r>
      <w:r w:rsidRPr="00974D61">
        <w:rPr>
          <w:rFonts w:ascii="Arial" w:hAnsi="Arial" w:cs="Arial"/>
          <w:b/>
          <w:bCs/>
        </w:rPr>
        <w:t>Analyses</w:t>
      </w:r>
    </w:p>
    <w:p w14:paraId="6458D5C4" w14:textId="3FF739DF" w:rsidR="00CA7683" w:rsidRPr="00193975" w:rsidRDefault="00CA7683" w:rsidP="00CA7683">
      <w:pPr>
        <w:spacing w:line="480" w:lineRule="auto"/>
        <w:ind w:firstLine="720"/>
        <w:rPr>
          <w:rFonts w:ascii="Arial" w:hAnsi="Arial" w:cs="Arial"/>
          <w:strike/>
        </w:rPr>
      </w:pPr>
      <w:r w:rsidRPr="00974D61">
        <w:rPr>
          <w:rFonts w:ascii="Arial" w:hAnsi="Arial" w:cs="Arial"/>
        </w:rPr>
        <w:t xml:space="preserve">We considered the effect of the Stage IV CRC detected at month 22 on baseline findings.  Assuming this cancer was missed at </w:t>
      </w:r>
      <w:r w:rsidR="00612EEB">
        <w:rPr>
          <w:rFonts w:ascii="Arial" w:hAnsi="Arial" w:cs="Arial"/>
        </w:rPr>
        <w:t>baseline</w:t>
      </w:r>
      <w:r w:rsidRPr="00974D61">
        <w:rPr>
          <w:rFonts w:ascii="Arial" w:hAnsi="Arial" w:cs="Arial"/>
        </w:rPr>
        <w:t xml:space="preserve"> does not change the PSI at </w:t>
      </w:r>
      <w:r w:rsidR="00612EEB">
        <w:rPr>
          <w:rFonts w:ascii="Arial" w:hAnsi="Arial" w:cs="Arial"/>
        </w:rPr>
        <w:t>year 3</w:t>
      </w:r>
      <w:r w:rsidRPr="00974D61">
        <w:rPr>
          <w:rFonts w:ascii="Arial" w:hAnsi="Arial" w:cs="Arial"/>
        </w:rPr>
        <w:t xml:space="preserve">.  The subject did not have a </w:t>
      </w:r>
      <w:r w:rsidR="00612EEB">
        <w:rPr>
          <w:rFonts w:ascii="Arial" w:hAnsi="Arial" w:cs="Arial"/>
        </w:rPr>
        <w:t>year 3</w:t>
      </w:r>
      <w:r w:rsidRPr="00974D61">
        <w:rPr>
          <w:rFonts w:ascii="Arial" w:hAnsi="Arial" w:cs="Arial"/>
        </w:rPr>
        <w:t xml:space="preserve"> mt-</w:t>
      </w:r>
      <w:proofErr w:type="spellStart"/>
      <w:r w:rsidRPr="00974D61">
        <w:rPr>
          <w:rFonts w:ascii="Arial" w:hAnsi="Arial" w:cs="Arial"/>
        </w:rPr>
        <w:t>sDNA</w:t>
      </w:r>
      <w:proofErr w:type="spellEnd"/>
      <w:r w:rsidRPr="00974D61">
        <w:rPr>
          <w:rFonts w:ascii="Arial" w:hAnsi="Arial" w:cs="Arial"/>
        </w:rPr>
        <w:t xml:space="preserve"> test but had the mt-</w:t>
      </w:r>
      <w:proofErr w:type="spellStart"/>
      <w:r w:rsidRPr="00974D61">
        <w:rPr>
          <w:rFonts w:ascii="Arial" w:hAnsi="Arial" w:cs="Arial"/>
        </w:rPr>
        <w:t>sDNA</w:t>
      </w:r>
      <w:proofErr w:type="spellEnd"/>
      <w:r w:rsidRPr="00974D61">
        <w:rPr>
          <w:rFonts w:ascii="Arial" w:hAnsi="Arial" w:cs="Arial"/>
        </w:rPr>
        <w:t xml:space="preserve"> missed the CRC at </w:t>
      </w:r>
      <w:r w:rsidR="00612EEB">
        <w:rPr>
          <w:rFonts w:ascii="Arial" w:hAnsi="Arial" w:cs="Arial"/>
        </w:rPr>
        <w:t>year 3</w:t>
      </w:r>
      <w:r w:rsidRPr="00974D61">
        <w:rPr>
          <w:rFonts w:ascii="Arial" w:hAnsi="Arial" w:cs="Arial"/>
        </w:rPr>
        <w:t xml:space="preserve">, the PSI for CRC would be -0.21%, a non-significant finding (P=0.63).  </w:t>
      </w:r>
    </w:p>
    <w:p w14:paraId="3F0DA548" w14:textId="6FE18F4D" w:rsidR="00CA7683" w:rsidRPr="00974D61" w:rsidRDefault="00CA7683" w:rsidP="00CA7683">
      <w:pPr>
        <w:spacing w:after="0" w:line="480" w:lineRule="auto"/>
        <w:ind w:firstLine="720"/>
        <w:rPr>
          <w:rFonts w:ascii="Arial" w:hAnsi="Arial" w:cs="Arial"/>
        </w:rPr>
      </w:pPr>
      <w:r w:rsidRPr="00974D61">
        <w:rPr>
          <w:rFonts w:ascii="Arial" w:hAnsi="Arial" w:cs="Arial"/>
        </w:rPr>
        <w:t xml:space="preserve">To assess the reliability of the </w:t>
      </w:r>
      <w:r w:rsidR="00612EEB">
        <w:rPr>
          <w:rFonts w:ascii="Arial" w:hAnsi="Arial" w:cs="Arial"/>
        </w:rPr>
        <w:t>year 3</w:t>
      </w:r>
      <w:r w:rsidRPr="00974D61">
        <w:rPr>
          <w:rFonts w:ascii="Arial" w:hAnsi="Arial" w:cs="Arial"/>
        </w:rPr>
        <w:t xml:space="preserve"> PSI estimate for advanced precancerous lesions, two common patterns of missing data (naïve and corrected) were examined.  The MCAR estimates (using N=591, naïve assumption) fell outside the TIR with estimated sensitivity of 34.9%, specificity of 81.1%, and a PSI of 9.3% (cited above); the MAR estimate fell within the TIR (using N=1,036, corrected assumption), with a sensitivity of 26.2%, specificity of 86.6%, and PSI of 9.4%</w:t>
      </w:r>
      <w:r w:rsidR="00193975">
        <w:rPr>
          <w:rFonts w:ascii="Arial" w:hAnsi="Arial" w:cs="Arial"/>
        </w:rPr>
        <w:t xml:space="preserve">, </w:t>
      </w:r>
      <w:r w:rsidR="00193975" w:rsidRPr="004524FD">
        <w:rPr>
          <w:rFonts w:ascii="Arial" w:hAnsi="Arial" w:cs="Arial"/>
        </w:rPr>
        <w:t>consistent with the observed 9.3%</w:t>
      </w:r>
      <w:r w:rsidRPr="004524FD">
        <w:rPr>
          <w:rFonts w:ascii="Arial" w:hAnsi="Arial" w:cs="Arial"/>
        </w:rPr>
        <w:t>.</w:t>
      </w:r>
      <w:r w:rsidRPr="00974D61">
        <w:rPr>
          <w:rFonts w:ascii="Arial" w:hAnsi="Arial" w:cs="Arial"/>
        </w:rPr>
        <w:t xml:space="preserve">  The MAR is therefore a more reliable estimate. </w:t>
      </w:r>
    </w:p>
    <w:p w14:paraId="098A9646" w14:textId="5FB3FE29" w:rsidR="00970BF2" w:rsidRDefault="00CA7683" w:rsidP="00CA7683">
      <w:pPr>
        <w:spacing w:after="0" w:line="480" w:lineRule="auto"/>
        <w:ind w:firstLine="720"/>
        <w:rPr>
          <w:rFonts w:ascii="Arial" w:hAnsi="Arial" w:cs="Arial"/>
        </w:rPr>
      </w:pPr>
      <w:bookmarkStart w:id="0" w:name="_Hlk84446470"/>
      <w:r w:rsidRPr="00974D61">
        <w:rPr>
          <w:rFonts w:ascii="Arial" w:hAnsi="Arial" w:cs="Arial"/>
        </w:rPr>
        <w:t>Additional imputation analyses were performed to account for the 400 subjects who did not undergo colonoscopy</w:t>
      </w:r>
      <w:r w:rsidR="00612EEB">
        <w:rPr>
          <w:rFonts w:ascii="Arial" w:hAnsi="Arial" w:cs="Arial"/>
        </w:rPr>
        <w:t xml:space="preserve"> in year 3</w:t>
      </w:r>
      <w:r w:rsidRPr="00974D61">
        <w:rPr>
          <w:rFonts w:ascii="Arial" w:hAnsi="Arial" w:cs="Arial"/>
        </w:rPr>
        <w:t xml:space="preserve">.  The imputations resulted in a median number of CRC/advanced precancerous lesions increases in those with a positive </w:t>
      </w:r>
      <w:r w:rsidR="00612EEB">
        <w:rPr>
          <w:rFonts w:ascii="Arial" w:hAnsi="Arial" w:cs="Arial"/>
        </w:rPr>
        <w:t>year 3</w:t>
      </w:r>
      <w:r w:rsidRPr="00974D61">
        <w:rPr>
          <w:rFonts w:ascii="Arial" w:hAnsi="Arial" w:cs="Arial"/>
        </w:rPr>
        <w:t xml:space="preserve"> mt-</w:t>
      </w:r>
      <w:proofErr w:type="spellStart"/>
      <w:r w:rsidRPr="00974D61">
        <w:rPr>
          <w:rFonts w:ascii="Arial" w:hAnsi="Arial" w:cs="Arial"/>
        </w:rPr>
        <w:t>sDNA</w:t>
      </w:r>
      <w:proofErr w:type="spellEnd"/>
      <w:r w:rsidRPr="00974D61">
        <w:rPr>
          <w:rFonts w:ascii="Arial" w:hAnsi="Arial" w:cs="Arial"/>
        </w:rPr>
        <w:t xml:space="preserve"> test </w:t>
      </w:r>
      <w:bookmarkEnd w:id="0"/>
      <w:r w:rsidRPr="00974D61">
        <w:rPr>
          <w:rFonts w:ascii="Arial" w:hAnsi="Arial" w:cs="Arial"/>
        </w:rPr>
        <w:t>result from 22 of 125 (17.6%) to 28 of 152 (18.4%), with a range of increase from 15.8% to 22.4%.  Those with a negative mt-</w:t>
      </w:r>
      <w:proofErr w:type="spellStart"/>
      <w:r w:rsidRPr="00974D61">
        <w:rPr>
          <w:rFonts w:ascii="Arial" w:hAnsi="Arial" w:cs="Arial"/>
        </w:rPr>
        <w:t>sDNA</w:t>
      </w:r>
      <w:proofErr w:type="spellEnd"/>
      <w:r w:rsidRPr="00974D61">
        <w:rPr>
          <w:rFonts w:ascii="Arial" w:hAnsi="Arial" w:cs="Arial"/>
        </w:rPr>
        <w:t xml:space="preserve"> test result increased from 41 of 497 (8.2%) to 78 of 884 (8.8%), with a range of increase from 7.8% to 11.2%.</w:t>
      </w:r>
    </w:p>
    <w:p w14:paraId="41D9E963" w14:textId="12601632" w:rsidR="00B04011" w:rsidRDefault="00B04011">
      <w:pPr>
        <w:rPr>
          <w:rFonts w:ascii="Arial" w:hAnsi="Arial" w:cs="Arial"/>
        </w:rPr>
      </w:pPr>
      <w:r>
        <w:rPr>
          <w:rFonts w:ascii="Arial" w:hAnsi="Arial" w:cs="Arial"/>
        </w:rPr>
        <w:br w:type="page"/>
      </w:r>
    </w:p>
    <w:p w14:paraId="11567E87" w14:textId="0D022F26" w:rsidR="00970BF2" w:rsidRDefault="00970BF2">
      <w:pPr>
        <w:rPr>
          <w:rFonts w:ascii="Arial" w:hAnsi="Arial" w:cs="Arial"/>
          <w:b/>
          <w:bCs/>
          <w:caps/>
        </w:rPr>
      </w:pPr>
      <w:r w:rsidRPr="00970BF2">
        <w:rPr>
          <w:rFonts w:ascii="Arial" w:hAnsi="Arial" w:cs="Arial"/>
          <w:b/>
          <w:bCs/>
          <w:caps/>
        </w:rPr>
        <w:lastRenderedPageBreak/>
        <w:t>References</w:t>
      </w:r>
    </w:p>
    <w:p w14:paraId="27D76A32" w14:textId="77777777" w:rsidR="00970BF2" w:rsidRPr="00970BF2" w:rsidRDefault="00970BF2">
      <w:pPr>
        <w:rPr>
          <w:rFonts w:ascii="Arial" w:hAnsi="Arial" w:cs="Arial"/>
          <w:b/>
          <w:bCs/>
          <w:caps/>
        </w:rPr>
      </w:pPr>
    </w:p>
    <w:p w14:paraId="01D2350E" w14:textId="5911182A" w:rsidR="00970BF2" w:rsidRPr="00DE53FB" w:rsidRDefault="00970BF2" w:rsidP="00B04011">
      <w:pPr>
        <w:widowControl w:val="0"/>
        <w:autoSpaceDE w:val="0"/>
        <w:autoSpaceDN w:val="0"/>
        <w:adjustRightInd w:val="0"/>
        <w:spacing w:before="80" w:after="80" w:line="240" w:lineRule="auto"/>
        <w:ind w:left="640" w:hanging="640"/>
        <w:rPr>
          <w:rFonts w:ascii="Arial" w:hAnsi="Arial" w:cs="Arial"/>
          <w:noProof/>
          <w:szCs w:val="24"/>
        </w:rPr>
      </w:pPr>
      <w:r w:rsidRPr="00DE53FB">
        <w:rPr>
          <w:rFonts w:ascii="Arial" w:hAnsi="Arial" w:cs="Arial"/>
        </w:rPr>
        <w:fldChar w:fldCharType="begin" w:fldLock="1"/>
      </w:r>
      <w:r w:rsidRPr="00DE53FB">
        <w:rPr>
          <w:rFonts w:ascii="Arial" w:hAnsi="Arial" w:cs="Arial"/>
        </w:rPr>
        <w:instrText xml:space="preserve">ADDIN Mendeley Bibliography CSL_BIBLIOGRAPHY </w:instrText>
      </w:r>
      <w:r w:rsidRPr="00DE53FB">
        <w:rPr>
          <w:rFonts w:ascii="Arial" w:hAnsi="Arial" w:cs="Arial"/>
        </w:rPr>
        <w:fldChar w:fldCharType="separate"/>
      </w:r>
      <w:r w:rsidRPr="00DE53FB">
        <w:rPr>
          <w:rFonts w:ascii="Arial" w:hAnsi="Arial" w:cs="Arial"/>
          <w:noProof/>
          <w:szCs w:val="24"/>
        </w:rPr>
        <w:t xml:space="preserve">1. </w:t>
      </w:r>
      <w:r w:rsidRPr="00DE53FB">
        <w:rPr>
          <w:rFonts w:ascii="Arial" w:hAnsi="Arial" w:cs="Arial"/>
          <w:noProof/>
          <w:szCs w:val="24"/>
        </w:rPr>
        <w:tab/>
        <w:t xml:space="preserve">Kastenberg D, Bertiger G, Brogadir S. Bowel preparation quality scales for colonoscopy. </w:t>
      </w:r>
      <w:r w:rsidRPr="00DE53FB">
        <w:rPr>
          <w:rFonts w:ascii="Arial" w:hAnsi="Arial" w:cs="Arial"/>
          <w:i/>
          <w:iCs/>
          <w:noProof/>
          <w:szCs w:val="24"/>
        </w:rPr>
        <w:t>World J Gastroenterol</w:t>
      </w:r>
      <w:r w:rsidRPr="00DE53FB">
        <w:rPr>
          <w:rFonts w:ascii="Arial" w:hAnsi="Arial" w:cs="Arial"/>
          <w:noProof/>
          <w:szCs w:val="24"/>
        </w:rPr>
        <w:t>. 2833;24(26):2833-2843. doi:10.3748/wjg.v24.i26.2833</w:t>
      </w:r>
    </w:p>
    <w:p w14:paraId="784A011F" w14:textId="77777777" w:rsidR="00970BF2" w:rsidRPr="00DE53FB" w:rsidRDefault="00970BF2" w:rsidP="00B04011">
      <w:pPr>
        <w:widowControl w:val="0"/>
        <w:autoSpaceDE w:val="0"/>
        <w:autoSpaceDN w:val="0"/>
        <w:adjustRightInd w:val="0"/>
        <w:spacing w:before="80" w:after="80" w:line="240" w:lineRule="auto"/>
        <w:ind w:left="640" w:hanging="640"/>
        <w:rPr>
          <w:rFonts w:ascii="Arial" w:hAnsi="Arial" w:cs="Arial"/>
          <w:noProof/>
          <w:szCs w:val="24"/>
        </w:rPr>
      </w:pPr>
      <w:r w:rsidRPr="00DE53FB">
        <w:rPr>
          <w:rFonts w:ascii="Arial" w:hAnsi="Arial" w:cs="Arial"/>
          <w:noProof/>
          <w:szCs w:val="24"/>
        </w:rPr>
        <w:t xml:space="preserve">2. </w:t>
      </w:r>
      <w:r w:rsidRPr="00DE53FB">
        <w:rPr>
          <w:rFonts w:ascii="Arial" w:hAnsi="Arial" w:cs="Arial"/>
          <w:noProof/>
          <w:szCs w:val="24"/>
        </w:rPr>
        <w:tab/>
        <w:t xml:space="preserve">Exact Sciences Corporation LLC. </w:t>
      </w:r>
      <w:r w:rsidRPr="00DE53FB">
        <w:rPr>
          <w:rFonts w:ascii="Arial" w:hAnsi="Arial" w:cs="Arial"/>
          <w:i/>
          <w:iCs/>
          <w:noProof/>
          <w:szCs w:val="24"/>
        </w:rPr>
        <w:t>Cologuard ® Physician Brochure</w:t>
      </w:r>
      <w:r w:rsidRPr="00DE53FB">
        <w:rPr>
          <w:rFonts w:ascii="Arial" w:hAnsi="Arial" w:cs="Arial"/>
          <w:noProof/>
          <w:szCs w:val="24"/>
        </w:rPr>
        <w:t>. Accessed December 1, 2020. https://www.cologuardtest.com/hs-fs/hub/377740/file-1412311339.pdf</w:t>
      </w:r>
    </w:p>
    <w:p w14:paraId="4A19F474" w14:textId="1EAABE77" w:rsidR="00970BF2" w:rsidRPr="00DE53FB" w:rsidRDefault="00970BF2" w:rsidP="00B04011">
      <w:pPr>
        <w:widowControl w:val="0"/>
        <w:autoSpaceDE w:val="0"/>
        <w:autoSpaceDN w:val="0"/>
        <w:adjustRightInd w:val="0"/>
        <w:spacing w:before="80" w:after="80" w:line="240" w:lineRule="auto"/>
        <w:ind w:left="640" w:hanging="640"/>
        <w:rPr>
          <w:rFonts w:ascii="Arial" w:hAnsi="Arial" w:cs="Arial"/>
          <w:noProof/>
          <w:szCs w:val="24"/>
        </w:rPr>
      </w:pPr>
      <w:r w:rsidRPr="00DE53FB">
        <w:rPr>
          <w:rFonts w:ascii="Arial" w:hAnsi="Arial" w:cs="Arial"/>
          <w:noProof/>
          <w:szCs w:val="24"/>
        </w:rPr>
        <w:t xml:space="preserve">3. </w:t>
      </w:r>
      <w:r w:rsidRPr="00DE53FB">
        <w:rPr>
          <w:rFonts w:ascii="Arial" w:hAnsi="Arial" w:cs="Arial"/>
          <w:noProof/>
          <w:szCs w:val="24"/>
        </w:rPr>
        <w:tab/>
        <w:t>Imperiale TF, Ransohoff DF, Itzkowitz SH,</w:t>
      </w:r>
      <w:r w:rsidR="00E7434F" w:rsidRPr="00DE53FB">
        <w:rPr>
          <w:rFonts w:ascii="Arial" w:hAnsi="Arial" w:cs="Arial"/>
          <w:noProof/>
          <w:szCs w:val="24"/>
        </w:rPr>
        <w:t xml:space="preserve"> Levin TR, Lavin P, Lidgard GP,</w:t>
      </w:r>
      <w:r w:rsidRPr="00DE53FB">
        <w:rPr>
          <w:rFonts w:ascii="Arial" w:hAnsi="Arial" w:cs="Arial"/>
          <w:noProof/>
          <w:szCs w:val="24"/>
        </w:rPr>
        <w:t xml:space="preserve"> et al. Multitarget Stool DNA Testing for Colorectal-Cancer Screening. </w:t>
      </w:r>
      <w:r w:rsidRPr="00DE53FB">
        <w:rPr>
          <w:rFonts w:ascii="Arial" w:hAnsi="Arial" w:cs="Arial"/>
          <w:i/>
          <w:iCs/>
          <w:noProof/>
          <w:szCs w:val="24"/>
        </w:rPr>
        <w:t>N Engl J Med</w:t>
      </w:r>
      <w:r w:rsidRPr="00DE53FB">
        <w:rPr>
          <w:rFonts w:ascii="Arial" w:hAnsi="Arial" w:cs="Arial"/>
          <w:noProof/>
          <w:szCs w:val="24"/>
        </w:rPr>
        <w:t>. 2014;370(14):1287-1297. doi:10.1056/nejmoa1311194</w:t>
      </w:r>
    </w:p>
    <w:p w14:paraId="60C3F02A" w14:textId="12AA48CB" w:rsidR="00970BF2" w:rsidRPr="00DE53FB" w:rsidRDefault="00970BF2" w:rsidP="00E7434F">
      <w:pPr>
        <w:widowControl w:val="0"/>
        <w:autoSpaceDE w:val="0"/>
        <w:autoSpaceDN w:val="0"/>
        <w:adjustRightInd w:val="0"/>
        <w:spacing w:before="80" w:after="80" w:line="240" w:lineRule="auto"/>
        <w:ind w:left="640" w:hanging="640"/>
        <w:rPr>
          <w:rFonts w:ascii="Arial" w:hAnsi="Arial" w:cs="Arial"/>
          <w:noProof/>
          <w:szCs w:val="24"/>
        </w:rPr>
      </w:pPr>
      <w:r w:rsidRPr="00DE53FB">
        <w:rPr>
          <w:rFonts w:ascii="Arial" w:hAnsi="Arial" w:cs="Arial"/>
          <w:noProof/>
          <w:szCs w:val="24"/>
        </w:rPr>
        <w:t xml:space="preserve">4. </w:t>
      </w:r>
      <w:r w:rsidRPr="00DE53FB">
        <w:rPr>
          <w:rFonts w:ascii="Arial" w:hAnsi="Arial" w:cs="Arial"/>
          <w:noProof/>
          <w:szCs w:val="24"/>
        </w:rPr>
        <w:tab/>
        <w:t>Imperiale T, Ransohoff D, Itzkowitz S</w:t>
      </w:r>
      <w:r w:rsidR="00E7434F" w:rsidRPr="00DE53FB">
        <w:rPr>
          <w:rFonts w:ascii="Arial" w:hAnsi="Arial" w:cs="Arial"/>
          <w:noProof/>
          <w:szCs w:val="24"/>
        </w:rPr>
        <w:t>, Levin TR, Lavin P, Lidgard GP, e</w:t>
      </w:r>
      <w:r w:rsidRPr="00DE53FB">
        <w:rPr>
          <w:rFonts w:ascii="Arial" w:hAnsi="Arial" w:cs="Arial"/>
          <w:noProof/>
          <w:szCs w:val="24"/>
        </w:rPr>
        <w:t xml:space="preserve">t al. Supplement to Multitarget Stool DNA Testing for Colorectal-Cancer Screening. </w:t>
      </w:r>
      <w:r w:rsidRPr="00DE53FB">
        <w:rPr>
          <w:rFonts w:ascii="Arial" w:hAnsi="Arial" w:cs="Arial"/>
          <w:i/>
          <w:iCs/>
          <w:noProof/>
          <w:szCs w:val="24"/>
        </w:rPr>
        <w:t>N Engl J Med</w:t>
      </w:r>
      <w:r w:rsidRPr="00DE53FB">
        <w:rPr>
          <w:rFonts w:ascii="Arial" w:hAnsi="Arial" w:cs="Arial"/>
          <w:noProof/>
          <w:szCs w:val="24"/>
        </w:rPr>
        <w:t>. Published online April 3, 2014. doi:10.1056/NEJMoa1311194</w:t>
      </w:r>
    </w:p>
    <w:p w14:paraId="57E155EB" w14:textId="77777777" w:rsidR="00970BF2" w:rsidRPr="00DE53FB" w:rsidRDefault="00970BF2" w:rsidP="00B04011">
      <w:pPr>
        <w:widowControl w:val="0"/>
        <w:autoSpaceDE w:val="0"/>
        <w:autoSpaceDN w:val="0"/>
        <w:adjustRightInd w:val="0"/>
        <w:spacing w:before="80" w:after="80" w:line="240" w:lineRule="auto"/>
        <w:ind w:left="640" w:hanging="640"/>
        <w:rPr>
          <w:rFonts w:ascii="Arial" w:hAnsi="Arial" w:cs="Arial"/>
          <w:noProof/>
          <w:szCs w:val="24"/>
        </w:rPr>
      </w:pPr>
      <w:r w:rsidRPr="00DE53FB">
        <w:rPr>
          <w:rFonts w:ascii="Arial" w:hAnsi="Arial" w:cs="Arial"/>
          <w:noProof/>
          <w:szCs w:val="24"/>
        </w:rPr>
        <w:t xml:space="preserve">5. </w:t>
      </w:r>
      <w:r w:rsidRPr="00DE53FB">
        <w:rPr>
          <w:rFonts w:ascii="Arial" w:hAnsi="Arial" w:cs="Arial"/>
          <w:noProof/>
          <w:szCs w:val="24"/>
        </w:rPr>
        <w:tab/>
        <w:t xml:space="preserve">Kosinski AS, Barnhart HX. A global sensitivity analysis of performance of a medical diagnostic test when verification bias is present. </w:t>
      </w:r>
      <w:r w:rsidRPr="00DE53FB">
        <w:rPr>
          <w:rFonts w:ascii="Arial" w:hAnsi="Arial" w:cs="Arial"/>
          <w:i/>
          <w:iCs/>
          <w:noProof/>
          <w:szCs w:val="24"/>
        </w:rPr>
        <w:t>Stat Med</w:t>
      </w:r>
      <w:r w:rsidRPr="00DE53FB">
        <w:rPr>
          <w:rFonts w:ascii="Arial" w:hAnsi="Arial" w:cs="Arial"/>
          <w:noProof/>
          <w:szCs w:val="24"/>
        </w:rPr>
        <w:t>. 2003;22(17):2711-2721. doi:10.1002/sim.1517</w:t>
      </w:r>
    </w:p>
    <w:p w14:paraId="7AAA1054" w14:textId="77777777" w:rsidR="00970BF2" w:rsidRPr="00DE53FB" w:rsidRDefault="00970BF2" w:rsidP="00B04011">
      <w:pPr>
        <w:widowControl w:val="0"/>
        <w:autoSpaceDE w:val="0"/>
        <w:autoSpaceDN w:val="0"/>
        <w:adjustRightInd w:val="0"/>
        <w:spacing w:before="80" w:after="80" w:line="240" w:lineRule="auto"/>
        <w:ind w:left="640" w:hanging="640"/>
        <w:rPr>
          <w:rFonts w:ascii="Arial" w:hAnsi="Arial" w:cs="Arial"/>
          <w:noProof/>
          <w:szCs w:val="24"/>
        </w:rPr>
      </w:pPr>
      <w:r w:rsidRPr="00DE53FB">
        <w:rPr>
          <w:rFonts w:ascii="Arial" w:hAnsi="Arial" w:cs="Arial"/>
          <w:noProof/>
          <w:szCs w:val="24"/>
        </w:rPr>
        <w:t xml:space="preserve">6. </w:t>
      </w:r>
      <w:r w:rsidRPr="00DE53FB">
        <w:rPr>
          <w:rFonts w:ascii="Arial" w:hAnsi="Arial" w:cs="Arial"/>
          <w:noProof/>
          <w:szCs w:val="24"/>
        </w:rPr>
        <w:tab/>
        <w:t xml:space="preserve">Little RJA, Rubin DB. Statistical Analysis with Missing Data. Rubin DB, Little RJA, eds. </w:t>
      </w:r>
      <w:r w:rsidRPr="00DE53FB">
        <w:rPr>
          <w:rFonts w:ascii="Arial" w:hAnsi="Arial" w:cs="Arial"/>
          <w:i/>
          <w:iCs/>
          <w:noProof/>
          <w:szCs w:val="24"/>
        </w:rPr>
        <w:t>J Educ Stat</w:t>
      </w:r>
      <w:r w:rsidRPr="00DE53FB">
        <w:rPr>
          <w:rFonts w:ascii="Arial" w:hAnsi="Arial" w:cs="Arial"/>
          <w:noProof/>
          <w:szCs w:val="24"/>
        </w:rPr>
        <w:t>. 1991;16(2):150. doi:10.2307/1165119</w:t>
      </w:r>
    </w:p>
    <w:p w14:paraId="69415F4C" w14:textId="77777777" w:rsidR="00970BF2" w:rsidRPr="00DE53FB" w:rsidRDefault="00970BF2" w:rsidP="00B04011">
      <w:pPr>
        <w:widowControl w:val="0"/>
        <w:autoSpaceDE w:val="0"/>
        <w:autoSpaceDN w:val="0"/>
        <w:adjustRightInd w:val="0"/>
        <w:spacing w:before="80" w:after="80" w:line="240" w:lineRule="auto"/>
        <w:ind w:left="640" w:hanging="640"/>
        <w:rPr>
          <w:rFonts w:ascii="Arial" w:hAnsi="Arial" w:cs="Arial"/>
          <w:noProof/>
        </w:rPr>
      </w:pPr>
      <w:r w:rsidRPr="00DE53FB">
        <w:rPr>
          <w:rFonts w:ascii="Arial" w:hAnsi="Arial" w:cs="Arial"/>
          <w:noProof/>
          <w:szCs w:val="24"/>
        </w:rPr>
        <w:t xml:space="preserve">7. </w:t>
      </w:r>
      <w:r w:rsidRPr="00DE53FB">
        <w:rPr>
          <w:rFonts w:ascii="Arial" w:hAnsi="Arial" w:cs="Arial"/>
          <w:noProof/>
          <w:szCs w:val="24"/>
        </w:rPr>
        <w:tab/>
        <w:t xml:space="preserve">Peduzzi P, Concato J, Kemper E, Holford T, Feinstein A. A simulation study of the number of events per variable in logistic regression analysis. </w:t>
      </w:r>
      <w:r w:rsidRPr="00DE53FB">
        <w:rPr>
          <w:rFonts w:ascii="Arial" w:hAnsi="Arial" w:cs="Arial"/>
          <w:i/>
          <w:iCs/>
          <w:noProof/>
          <w:szCs w:val="24"/>
        </w:rPr>
        <w:t>J Clin Epidemiol</w:t>
      </w:r>
      <w:r w:rsidRPr="00DE53FB">
        <w:rPr>
          <w:rFonts w:ascii="Arial" w:hAnsi="Arial" w:cs="Arial"/>
          <w:noProof/>
          <w:szCs w:val="24"/>
        </w:rPr>
        <w:t>. 1996;49(12):1373-1379. doi:10.1016/S0895-4356(96)00236-3</w:t>
      </w:r>
    </w:p>
    <w:p w14:paraId="21524F80" w14:textId="6E9B351E" w:rsidR="00CA7683" w:rsidRPr="00DE53FB" w:rsidRDefault="00970BF2" w:rsidP="00B04011">
      <w:pPr>
        <w:spacing w:before="80" w:after="80" w:line="240" w:lineRule="auto"/>
        <w:ind w:firstLine="720"/>
        <w:rPr>
          <w:rFonts w:ascii="Arial" w:hAnsi="Arial" w:cs="Arial"/>
        </w:rPr>
      </w:pPr>
      <w:r w:rsidRPr="00DE53FB">
        <w:rPr>
          <w:rFonts w:ascii="Arial" w:hAnsi="Arial" w:cs="Arial"/>
        </w:rPr>
        <w:fldChar w:fldCharType="end"/>
      </w:r>
    </w:p>
    <w:p w14:paraId="62A33007" w14:textId="77777777" w:rsidR="00CA7683" w:rsidRPr="00DE53FB" w:rsidRDefault="00CA7683" w:rsidP="00B04011">
      <w:pPr>
        <w:spacing w:before="80" w:after="80" w:line="240" w:lineRule="auto"/>
        <w:rPr>
          <w:rFonts w:ascii="Arial" w:hAnsi="Arial" w:cs="Arial"/>
        </w:rPr>
      </w:pPr>
    </w:p>
    <w:p w14:paraId="260E42A3" w14:textId="77777777" w:rsidR="00CA7683" w:rsidRPr="00CA7683" w:rsidRDefault="00CA7683" w:rsidP="00B04011">
      <w:pPr>
        <w:spacing w:before="80" w:after="80" w:line="240" w:lineRule="auto"/>
        <w:rPr>
          <w:rFonts w:ascii="Arial" w:hAnsi="Arial" w:cs="Arial"/>
        </w:rPr>
      </w:pPr>
    </w:p>
    <w:sectPr w:rsidR="00CA7683" w:rsidRPr="00CA7683" w:rsidSect="003F206A">
      <w:headerReference w:type="first" r:id="rId7"/>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C99" w14:textId="77777777" w:rsidR="00DC22CD" w:rsidRDefault="00DC22CD" w:rsidP="003F206A">
      <w:pPr>
        <w:spacing w:after="0" w:line="240" w:lineRule="auto"/>
      </w:pPr>
      <w:r>
        <w:separator/>
      </w:r>
    </w:p>
  </w:endnote>
  <w:endnote w:type="continuationSeparator" w:id="0">
    <w:p w14:paraId="483DBAFD" w14:textId="77777777" w:rsidR="00DC22CD" w:rsidRDefault="00DC22CD" w:rsidP="003F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B2B9" w14:textId="77777777" w:rsidR="00DC22CD" w:rsidRDefault="00DC22CD" w:rsidP="003F206A">
      <w:pPr>
        <w:spacing w:after="0" w:line="240" w:lineRule="auto"/>
      </w:pPr>
      <w:r>
        <w:separator/>
      </w:r>
    </w:p>
  </w:footnote>
  <w:footnote w:type="continuationSeparator" w:id="0">
    <w:p w14:paraId="1699BB99" w14:textId="77777777" w:rsidR="00DC22CD" w:rsidRDefault="00DC22CD" w:rsidP="003F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04CE" w14:textId="6A8D5824" w:rsidR="003F206A" w:rsidRPr="003F206A" w:rsidRDefault="00804F89" w:rsidP="003F206A">
    <w:pPr>
      <w:pStyle w:val="Header"/>
      <w:jc w:val="center"/>
      <w:rPr>
        <w:rFonts w:asciiTheme="minorBidi" w:hAnsiTheme="minorBidi"/>
        <w:b/>
        <w:bCs/>
      </w:rPr>
    </w:pPr>
    <w:r w:rsidRPr="003A1D90">
      <w:rPr>
        <w:rFonts w:asciiTheme="minorBidi" w:hAnsiTheme="minorBidi"/>
        <w:b/>
        <w:bCs/>
      </w:rPr>
      <w:t>Supplement</w:t>
    </w:r>
    <w:r w:rsidR="00E7434F" w:rsidRPr="003A1D90">
      <w:rPr>
        <w:rFonts w:asciiTheme="minorBidi" w:hAnsiTheme="minorBidi"/>
        <w:b/>
        <w:bCs/>
      </w:rPr>
      <w:t xml:space="preserve">al </w:t>
    </w:r>
    <w:r w:rsidR="002B242C" w:rsidRPr="003A1D90">
      <w:rPr>
        <w:rFonts w:asciiTheme="minorBidi" w:hAnsiTheme="minorBidi"/>
        <w:b/>
        <w:bCs/>
      </w:rPr>
      <w:t>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83"/>
    <w:rsid w:val="000225A5"/>
    <w:rsid w:val="000F3AEC"/>
    <w:rsid w:val="00193975"/>
    <w:rsid w:val="001F3683"/>
    <w:rsid w:val="002202C7"/>
    <w:rsid w:val="002B242C"/>
    <w:rsid w:val="00360F9C"/>
    <w:rsid w:val="003A1D90"/>
    <w:rsid w:val="003F206A"/>
    <w:rsid w:val="004523F9"/>
    <w:rsid w:val="004524FD"/>
    <w:rsid w:val="006018B0"/>
    <w:rsid w:val="00612EEB"/>
    <w:rsid w:val="006908B9"/>
    <w:rsid w:val="006B45B4"/>
    <w:rsid w:val="00736EB8"/>
    <w:rsid w:val="007634EF"/>
    <w:rsid w:val="00804F89"/>
    <w:rsid w:val="008347CB"/>
    <w:rsid w:val="008A5BAA"/>
    <w:rsid w:val="00966C89"/>
    <w:rsid w:val="00970BF2"/>
    <w:rsid w:val="00974D61"/>
    <w:rsid w:val="009C3550"/>
    <w:rsid w:val="00A06AC3"/>
    <w:rsid w:val="00B04011"/>
    <w:rsid w:val="00C568F0"/>
    <w:rsid w:val="00CA7683"/>
    <w:rsid w:val="00CC65F3"/>
    <w:rsid w:val="00DC22CD"/>
    <w:rsid w:val="00DE53FB"/>
    <w:rsid w:val="00E7434F"/>
    <w:rsid w:val="00EB13B1"/>
    <w:rsid w:val="00F30152"/>
    <w:rsid w:val="00F94198"/>
    <w:rsid w:val="00F97A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0DE8"/>
  <w15:chartTrackingRefBased/>
  <w15:docId w15:val="{4B2F8F18-767E-4E48-AAA9-36CAF9D3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7683"/>
    <w:rPr>
      <w:sz w:val="16"/>
      <w:szCs w:val="16"/>
    </w:rPr>
  </w:style>
  <w:style w:type="paragraph" w:styleId="CommentText">
    <w:name w:val="annotation text"/>
    <w:basedOn w:val="Normal"/>
    <w:link w:val="CommentTextChar"/>
    <w:uiPriority w:val="99"/>
    <w:unhideWhenUsed/>
    <w:rsid w:val="00CA7683"/>
    <w:pPr>
      <w:spacing w:line="240" w:lineRule="auto"/>
    </w:pPr>
    <w:rPr>
      <w:sz w:val="20"/>
      <w:szCs w:val="20"/>
    </w:rPr>
  </w:style>
  <w:style w:type="character" w:customStyle="1" w:styleId="CommentTextChar">
    <w:name w:val="Comment Text Char"/>
    <w:basedOn w:val="DefaultParagraphFont"/>
    <w:link w:val="CommentText"/>
    <w:uiPriority w:val="99"/>
    <w:rsid w:val="00CA7683"/>
    <w:rPr>
      <w:sz w:val="20"/>
      <w:szCs w:val="20"/>
    </w:rPr>
  </w:style>
  <w:style w:type="paragraph" w:styleId="Revision">
    <w:name w:val="Revision"/>
    <w:hidden/>
    <w:uiPriority w:val="99"/>
    <w:semiHidden/>
    <w:rsid w:val="00B04011"/>
    <w:pPr>
      <w:spacing w:after="0" w:line="240" w:lineRule="auto"/>
    </w:pPr>
  </w:style>
  <w:style w:type="paragraph" w:styleId="Header">
    <w:name w:val="header"/>
    <w:basedOn w:val="Normal"/>
    <w:link w:val="HeaderChar"/>
    <w:uiPriority w:val="99"/>
    <w:unhideWhenUsed/>
    <w:rsid w:val="003F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6A"/>
  </w:style>
  <w:style w:type="paragraph" w:styleId="Footer">
    <w:name w:val="footer"/>
    <w:basedOn w:val="Normal"/>
    <w:link w:val="FooterChar"/>
    <w:uiPriority w:val="99"/>
    <w:unhideWhenUsed/>
    <w:rsid w:val="003F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A5B1-6E1E-4471-B3A2-59DC5AD9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Imperiale, Thomas F</dc:creator>
  <cp:keywords/>
  <dc:description/>
  <cp:lastModifiedBy>Will Johnson</cp:lastModifiedBy>
  <cp:revision>3</cp:revision>
  <dcterms:created xsi:type="dcterms:W3CDTF">2022-09-12T16:54:00Z</dcterms:created>
  <dcterms:modified xsi:type="dcterms:W3CDTF">2022-09-12T17:43:00Z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http://www.zotero.org/styles/association-for-computing-machinery</vt:lpwstr>
  </property>
  <property fmtid="{D5CDD505-2E9C-101B-9397-08002B2CF9AE}" pid="9" name="Mendeley Recent Style Name 3_1">
    <vt:lpwstr>Association for Computing Machinery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99f0bef7-4099-35b7-8362-afae85470a16</vt:lpwstr>
  </property>
  <property fmtid="{D5CDD505-2E9C-101B-9397-08002B2CF9AE}" pid="24" name="Mendeley Citation Style_1">
    <vt:lpwstr>http://www.zotero.org/styles/american-medical-association</vt:lpwstr>
  </property>
</Properties>
</file>