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05" w:rsidRPr="000C4505" w:rsidRDefault="000C4505" w:rsidP="000C4505">
      <w:pPr>
        <w:spacing w:after="0" w:line="240" w:lineRule="auto"/>
        <w:contextualSpacing/>
        <w:rPr>
          <w:rFonts w:ascii="Arial" w:hAnsi="Arial" w:cs="Arial"/>
        </w:rPr>
      </w:pPr>
      <w:bookmarkStart w:id="0" w:name="_GoBack"/>
      <w:bookmarkEnd w:id="0"/>
      <w:r w:rsidRPr="000C4505">
        <w:rPr>
          <w:rFonts w:ascii="Arial" w:hAnsi="Arial" w:cs="Arial"/>
        </w:rPr>
        <w:t xml:space="preserve">Supplementary Figure 1.  Sulforaphane induces NRF2 in HPV-negative and HPV-positive HNSCC cells. HPV-negative (UMSCC-22A, UMSCC-1, Cal33) and HPV-positive (UPCI:SCC090) HNSCC cells were treated for 6 hours with 0.1% DMSO or 10 </w:t>
      </w:r>
      <w:r w:rsidRPr="00BB19D9">
        <w:rPr>
          <w:rFonts w:ascii="Symbol" w:hAnsi="Symbol" w:cs="Arial"/>
        </w:rPr>
        <w:t></w:t>
      </w:r>
      <w:r w:rsidRPr="000C4505">
        <w:rPr>
          <w:rFonts w:ascii="Arial" w:hAnsi="Arial" w:cs="Arial"/>
        </w:rPr>
        <w:t xml:space="preserve">M SF, followed by immunoblotting for NRF2 or </w:t>
      </w:r>
      <w:r w:rsidRPr="00BB19D9">
        <w:rPr>
          <w:rFonts w:ascii="Symbol" w:hAnsi="Symbol" w:cs="Arial"/>
        </w:rPr>
        <w:t></w:t>
      </w:r>
      <w:r w:rsidRPr="000C4505">
        <w:rPr>
          <w:rFonts w:ascii="Arial" w:hAnsi="Arial" w:cs="Arial"/>
        </w:rPr>
        <w:t xml:space="preserve">-actin. </w:t>
      </w:r>
    </w:p>
    <w:p w:rsidR="000C4505" w:rsidRPr="000C4505" w:rsidRDefault="000C4505" w:rsidP="000C4505">
      <w:pPr>
        <w:spacing w:after="0" w:line="240" w:lineRule="auto"/>
        <w:contextualSpacing/>
        <w:rPr>
          <w:rFonts w:ascii="Arial" w:hAnsi="Arial" w:cs="Arial"/>
        </w:rPr>
      </w:pPr>
    </w:p>
    <w:p w:rsidR="000C4505" w:rsidRPr="000C4505" w:rsidRDefault="000C4505" w:rsidP="000C4505">
      <w:pPr>
        <w:spacing w:after="0" w:line="240" w:lineRule="auto"/>
        <w:contextualSpacing/>
        <w:rPr>
          <w:rFonts w:ascii="Arial" w:hAnsi="Arial" w:cs="Arial"/>
        </w:rPr>
      </w:pPr>
      <w:r w:rsidRPr="000C4505">
        <w:rPr>
          <w:rFonts w:ascii="Arial" w:hAnsi="Arial" w:cs="Arial"/>
        </w:rPr>
        <w:t xml:space="preserve">Supplementary Figure 2.  Proteasome inhibitors induce NRF2 in HNSCC cells. UMSCC-22A and UMSCC-1 cells were left untreated, or were treated for 24 hours with 0.1% DMSO, 10 nM bortezomib (BTZ), 100 nM carfilzomib (CFZ), 100 nM oprozomib (OPZ), 50 nM paclitaxel (PTX), or 10 </w:t>
      </w:r>
      <w:r w:rsidRPr="00BB19D9">
        <w:rPr>
          <w:rFonts w:ascii="Symbol" w:hAnsi="Symbol" w:cs="Arial"/>
        </w:rPr>
        <w:t></w:t>
      </w:r>
      <w:r w:rsidRPr="000C4505">
        <w:rPr>
          <w:rFonts w:ascii="Arial" w:hAnsi="Arial" w:cs="Arial"/>
        </w:rPr>
        <w:t xml:space="preserve">M cisplatin (CP) . Whole cell lysates were subjected to immunoblotting for NRF2 and </w:t>
      </w:r>
      <w:r w:rsidRPr="00BB19D9">
        <w:rPr>
          <w:rFonts w:ascii="Symbol" w:hAnsi="Symbol" w:cs="Arial"/>
        </w:rPr>
        <w:t></w:t>
      </w:r>
      <w:r w:rsidRPr="000C4505">
        <w:rPr>
          <w:rFonts w:ascii="Arial" w:hAnsi="Arial" w:cs="Arial"/>
        </w:rPr>
        <w:t xml:space="preserve">-actin.  </w:t>
      </w:r>
    </w:p>
    <w:p w:rsidR="000C4505" w:rsidRPr="000C4505" w:rsidRDefault="000C4505" w:rsidP="000C4505">
      <w:pPr>
        <w:spacing w:after="0" w:line="240" w:lineRule="auto"/>
        <w:contextualSpacing/>
        <w:rPr>
          <w:rFonts w:ascii="Arial" w:hAnsi="Arial" w:cs="Arial"/>
        </w:rPr>
      </w:pPr>
    </w:p>
    <w:p w:rsidR="000C4505" w:rsidRPr="000C4505" w:rsidRDefault="000C4505" w:rsidP="000C4505">
      <w:pPr>
        <w:spacing w:after="0" w:line="240" w:lineRule="auto"/>
        <w:contextualSpacing/>
        <w:rPr>
          <w:rFonts w:ascii="Arial" w:hAnsi="Arial" w:cs="Arial"/>
        </w:rPr>
      </w:pPr>
      <w:r w:rsidRPr="000C4505">
        <w:rPr>
          <w:rFonts w:ascii="Arial" w:hAnsi="Arial" w:cs="Arial"/>
        </w:rPr>
        <w:t xml:space="preserve">Supplementary Figure 3.  Sulforaphane induces NQO1 in HPV-negative and HPV-positive HNSCC cells.  HPV-negative (UMSCC-22A, UMSCC-1, Cal33) and HPV-positive (UPCI:SCC090) HNSCC cells were treated for 4 hours with 0.1% DMSO or 10 </w:t>
      </w:r>
      <w:r w:rsidRPr="00BB19D9">
        <w:rPr>
          <w:rFonts w:ascii="Symbol" w:hAnsi="Symbol" w:cs="Arial"/>
        </w:rPr>
        <w:t></w:t>
      </w:r>
      <w:r w:rsidRPr="000C4505">
        <w:rPr>
          <w:rFonts w:ascii="Arial" w:hAnsi="Arial" w:cs="Arial"/>
        </w:rPr>
        <w:t>M SF, followed by qPCR for NQO1 RNA.</w:t>
      </w:r>
    </w:p>
    <w:p w:rsidR="000C4505" w:rsidRPr="000C4505" w:rsidRDefault="000C4505" w:rsidP="000C4505">
      <w:pPr>
        <w:spacing w:after="0" w:line="240" w:lineRule="auto"/>
        <w:contextualSpacing/>
        <w:rPr>
          <w:rFonts w:ascii="Arial" w:hAnsi="Arial" w:cs="Arial"/>
        </w:rPr>
      </w:pPr>
    </w:p>
    <w:p w:rsidR="000C4505" w:rsidRPr="000C4505" w:rsidRDefault="000C4505" w:rsidP="000C4505">
      <w:pPr>
        <w:spacing w:after="0" w:line="240" w:lineRule="auto"/>
        <w:contextualSpacing/>
        <w:rPr>
          <w:rFonts w:ascii="Arial" w:hAnsi="Arial" w:cs="Arial"/>
        </w:rPr>
      </w:pPr>
      <w:r w:rsidRPr="000C4505">
        <w:rPr>
          <w:rFonts w:ascii="Arial" w:hAnsi="Arial" w:cs="Arial"/>
        </w:rPr>
        <w:t xml:space="preserve">Supplementary Figure 4.  Sulforaphane induces GCLC in HPV-negative and HPV-positive HNSCC cells. HPV-negative (UMSCC-22A, UMSCC-1, Cal33) and HPV-positive (UPCI:SCC090) HNSCC cells were treated for 4 hours with 0.1% DMSO or 10 </w:t>
      </w:r>
      <w:r w:rsidRPr="00BB19D9">
        <w:rPr>
          <w:rFonts w:ascii="Symbol" w:hAnsi="Symbol" w:cs="Arial"/>
        </w:rPr>
        <w:t></w:t>
      </w:r>
      <w:r w:rsidRPr="000C4505">
        <w:rPr>
          <w:rFonts w:ascii="Arial" w:hAnsi="Arial" w:cs="Arial"/>
        </w:rPr>
        <w:t>M SF, followed by qPCR for GCLC RNA.</w:t>
      </w:r>
    </w:p>
    <w:p w:rsidR="000C4505" w:rsidRPr="000C4505" w:rsidRDefault="000C4505" w:rsidP="000C4505">
      <w:pPr>
        <w:spacing w:after="0" w:line="240" w:lineRule="auto"/>
        <w:contextualSpacing/>
        <w:rPr>
          <w:rFonts w:ascii="Arial" w:hAnsi="Arial" w:cs="Arial"/>
        </w:rPr>
      </w:pPr>
    </w:p>
    <w:p w:rsidR="000C4505" w:rsidRPr="000C4505" w:rsidRDefault="000C4505" w:rsidP="000C4505">
      <w:pPr>
        <w:spacing w:after="0" w:line="240" w:lineRule="auto"/>
        <w:contextualSpacing/>
        <w:rPr>
          <w:rFonts w:ascii="Arial" w:hAnsi="Arial" w:cs="Arial"/>
        </w:rPr>
      </w:pPr>
      <w:r w:rsidRPr="000C4505">
        <w:rPr>
          <w:rFonts w:ascii="Arial" w:hAnsi="Arial" w:cs="Arial"/>
        </w:rPr>
        <w:t xml:space="preserve">Supplementary Figure 5.  Sulforaphane IC50 values in Het-1A, and HPV-negative and HPV-positive HNSCC cell lines. Het-1A cells, HPV-negative HNSCC cells (UMSCC-22A, UMSCC-1, Cal33), and HPV-positive HNSCC cells (UPCI:SCC090, UMSCC-47) were treated in triplicate for 48 hours with varying concentrations SF, followed by performance of MTT assays. Error bars represent standard deviations. </w:t>
      </w:r>
    </w:p>
    <w:p w:rsidR="000C4505" w:rsidRDefault="000C4505" w:rsidP="000C4505">
      <w:pPr>
        <w:spacing w:after="0" w:line="240" w:lineRule="auto"/>
        <w:contextualSpacing/>
        <w:rPr>
          <w:rFonts w:ascii="Arial" w:hAnsi="Arial" w:cs="Arial"/>
        </w:rPr>
      </w:pPr>
    </w:p>
    <w:p w:rsidR="00BB19D9" w:rsidRDefault="00BB19D9" w:rsidP="000C4505">
      <w:pPr>
        <w:spacing w:after="0" w:line="240" w:lineRule="auto"/>
        <w:contextualSpacing/>
        <w:rPr>
          <w:rFonts w:ascii="Arial" w:hAnsi="Arial" w:cs="Arial"/>
        </w:rPr>
      </w:pPr>
    </w:p>
    <w:p w:rsidR="00BB19D9" w:rsidRPr="000C4505" w:rsidRDefault="00BB19D9" w:rsidP="000C4505">
      <w:pPr>
        <w:spacing w:after="0" w:line="240" w:lineRule="auto"/>
        <w:contextualSpacing/>
        <w:rPr>
          <w:rFonts w:ascii="Arial" w:hAnsi="Arial" w:cs="Arial"/>
        </w:rPr>
      </w:pPr>
    </w:p>
    <w:p w:rsidR="002874DF" w:rsidRPr="000C4505" w:rsidRDefault="000C4505" w:rsidP="000C4505">
      <w:pPr>
        <w:spacing w:after="0" w:line="240" w:lineRule="auto"/>
        <w:contextualSpacing/>
        <w:rPr>
          <w:rFonts w:ascii="Arial" w:hAnsi="Arial" w:cs="Arial"/>
        </w:rPr>
      </w:pPr>
      <w:r w:rsidRPr="000C4505">
        <w:rPr>
          <w:rFonts w:ascii="Arial" w:hAnsi="Arial" w:cs="Arial"/>
        </w:rPr>
        <w:t xml:space="preserve">Supplementary Table 1.  Urinary excretion of sulforaphane-N-acetylcyteine and free sulforaphane in human subjects following administration of three different regimens of BSE beverage.  </w:t>
      </w:r>
    </w:p>
    <w:sectPr w:rsidR="002874DF" w:rsidRPr="000C4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05"/>
    <w:rsid w:val="000C4505"/>
    <w:rsid w:val="001B7AD2"/>
    <w:rsid w:val="00213711"/>
    <w:rsid w:val="002874DF"/>
    <w:rsid w:val="006041CD"/>
    <w:rsid w:val="00BB19D9"/>
    <w:rsid w:val="00F4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5 Johnson</dc:creator>
  <cp:lastModifiedBy>Daniel 5 Johnson</cp:lastModifiedBy>
  <cp:revision>2</cp:revision>
  <dcterms:created xsi:type="dcterms:W3CDTF">2016-04-07T14:15:00Z</dcterms:created>
  <dcterms:modified xsi:type="dcterms:W3CDTF">2016-04-07T14:15:00Z</dcterms:modified>
</cp:coreProperties>
</file>