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8F" w:rsidRPr="00103361" w:rsidRDefault="0017758F" w:rsidP="0017758F">
      <w:pPr>
        <w:spacing w:line="480" w:lineRule="auto"/>
        <w:jc w:val="center"/>
        <w:rPr>
          <w:rFonts w:ascii="Times New Roman" w:hAnsi="Times New Roman" w:cs="Times New Roman"/>
          <w:b/>
          <w:smallCaps/>
          <w:color w:val="548DD4" w:themeColor="text2" w:themeTint="99"/>
          <w:sz w:val="36"/>
        </w:rPr>
      </w:pPr>
      <w:r w:rsidRPr="00103361">
        <w:rPr>
          <w:rFonts w:ascii="Times New Roman" w:hAnsi="Times New Roman" w:cs="Times New Roman"/>
          <w:b/>
          <w:smallCaps/>
          <w:color w:val="548DD4" w:themeColor="text2" w:themeTint="99"/>
          <w:sz w:val="36"/>
        </w:rPr>
        <w:t>Supplementary Data</w:t>
      </w:r>
    </w:p>
    <w:p w:rsidR="002100D3" w:rsidRPr="00F85775" w:rsidRDefault="002100D3" w:rsidP="002100D3">
      <w:pPr>
        <w:spacing w:line="480" w:lineRule="auto"/>
        <w:rPr>
          <w:rFonts w:ascii="Times New Roman" w:hAnsi="Times New Roman" w:cs="Times New Roman"/>
          <w:b/>
        </w:rPr>
      </w:pPr>
      <w:r>
        <w:rPr>
          <w:rFonts w:ascii="Times New Roman" w:hAnsi="Times New Roman" w:cs="Times New Roman"/>
          <w:b/>
          <w:smallCaps/>
          <w:color w:val="548DD4" w:themeColor="text2" w:themeTint="99"/>
          <w:sz w:val="28"/>
        </w:rPr>
        <w:t>Materials and Methods</w:t>
      </w:r>
    </w:p>
    <w:p w:rsidR="00C36102" w:rsidRPr="00612A91" w:rsidRDefault="00C36102" w:rsidP="00C36102">
      <w:pPr>
        <w:spacing w:after="0" w:line="480" w:lineRule="auto"/>
        <w:jc w:val="both"/>
        <w:rPr>
          <w:rFonts w:ascii="Times New Roman" w:hAnsi="Times New Roman" w:cs="Times New Roman"/>
          <w:b/>
          <w:i/>
        </w:rPr>
      </w:pPr>
      <w:r w:rsidRPr="00612A91">
        <w:rPr>
          <w:rFonts w:ascii="Times New Roman" w:hAnsi="Times New Roman" w:cs="Times New Roman"/>
          <w:b/>
          <w:i/>
        </w:rPr>
        <w:t>Gene-expression microarray analysis</w:t>
      </w:r>
    </w:p>
    <w:p w:rsidR="00501120" w:rsidRPr="00612A91" w:rsidRDefault="00501120" w:rsidP="00501120">
      <w:pPr>
        <w:spacing w:after="0" w:line="480" w:lineRule="auto"/>
        <w:jc w:val="both"/>
        <w:rPr>
          <w:rFonts w:ascii="Times New Roman" w:hAnsi="Times New Roman" w:cs="Times New Roman"/>
        </w:rPr>
      </w:pPr>
      <w:r w:rsidRPr="00612A91">
        <w:rPr>
          <w:rFonts w:ascii="Times New Roman" w:hAnsi="Times New Roman" w:cs="Times New Roman"/>
        </w:rPr>
        <w:t xml:space="preserve">Total RNA was extracted from fresh cell pellets collected from human CRC cell lines using the </w:t>
      </w:r>
      <w:proofErr w:type="spellStart"/>
      <w:r w:rsidRPr="00612A91">
        <w:rPr>
          <w:rFonts w:ascii="Times New Roman" w:hAnsi="Times New Roman" w:cs="Times New Roman"/>
        </w:rPr>
        <w:t>RNeasy</w:t>
      </w:r>
      <w:proofErr w:type="spellEnd"/>
      <w:r w:rsidRPr="00612A91">
        <w:rPr>
          <w:rFonts w:ascii="Times New Roman" w:hAnsi="Times New Roman" w:cs="Times New Roman"/>
        </w:rPr>
        <w:t xml:space="preserve"> Mini Kit (</w:t>
      </w:r>
      <w:proofErr w:type="spellStart"/>
      <w:r w:rsidRPr="00612A91">
        <w:rPr>
          <w:rFonts w:ascii="Times New Roman" w:hAnsi="Times New Roman" w:cs="Times New Roman"/>
        </w:rPr>
        <w:t>Qiagen</w:t>
      </w:r>
      <w:proofErr w:type="spellEnd"/>
      <w:r w:rsidRPr="00612A91">
        <w:rPr>
          <w:rFonts w:ascii="Times New Roman" w:hAnsi="Times New Roman" w:cs="Times New Roman"/>
        </w:rPr>
        <w:t xml:space="preserve">, Valencia, CA) and amplified and labeled using the </w:t>
      </w:r>
      <w:proofErr w:type="spellStart"/>
      <w:r w:rsidRPr="00612A91">
        <w:rPr>
          <w:rFonts w:ascii="Times New Roman" w:hAnsi="Times New Roman" w:cs="Times New Roman"/>
        </w:rPr>
        <w:t>Illumina</w:t>
      </w:r>
      <w:r>
        <w:rPr>
          <w:rFonts w:ascii="Times New Roman" w:hAnsi="Times New Roman" w:cs="Times New Roman"/>
        </w:rPr>
        <w:t>’s</w:t>
      </w:r>
      <w:proofErr w:type="spellEnd"/>
      <w:r w:rsidRPr="00612A91">
        <w:rPr>
          <w:rFonts w:ascii="Times New Roman" w:hAnsi="Times New Roman" w:cs="Times New Roman"/>
        </w:rPr>
        <w:t xml:space="preserve"> Total Prep RNA Amplification kit (</w:t>
      </w:r>
      <w:proofErr w:type="spellStart"/>
      <w:r w:rsidRPr="00612A91">
        <w:rPr>
          <w:rFonts w:ascii="Times New Roman" w:hAnsi="Times New Roman" w:cs="Times New Roman"/>
        </w:rPr>
        <w:t>Illumina</w:t>
      </w:r>
      <w:proofErr w:type="spellEnd"/>
      <w:r w:rsidRPr="00612A91">
        <w:rPr>
          <w:rFonts w:ascii="Times New Roman" w:hAnsi="Times New Roman" w:cs="Times New Roman"/>
        </w:rPr>
        <w:t xml:space="preserve">, San Diego, CA). RNA integrity values were assessed using </w:t>
      </w:r>
      <w:proofErr w:type="spellStart"/>
      <w:r w:rsidRPr="00612A91">
        <w:rPr>
          <w:rFonts w:ascii="Times New Roman" w:hAnsi="Times New Roman" w:cs="Times New Roman"/>
        </w:rPr>
        <w:t>Labchip</w:t>
      </w:r>
      <w:proofErr w:type="spellEnd"/>
      <w:r w:rsidRPr="00612A91">
        <w:rPr>
          <w:rFonts w:ascii="Times New Roman" w:hAnsi="Times New Roman" w:cs="Times New Roman"/>
        </w:rPr>
        <w:t xml:space="preserve"> GX (Caliper </w:t>
      </w:r>
      <w:proofErr w:type="spellStart"/>
      <w:r w:rsidRPr="00612A91">
        <w:rPr>
          <w:rFonts w:ascii="Times New Roman" w:hAnsi="Times New Roman" w:cs="Times New Roman"/>
        </w:rPr>
        <w:t>LifeSciences</w:t>
      </w:r>
      <w:proofErr w:type="spellEnd"/>
      <w:r w:rsidRPr="00612A91">
        <w:rPr>
          <w:rFonts w:ascii="Times New Roman" w:hAnsi="Times New Roman" w:cs="Times New Roman"/>
        </w:rPr>
        <w:t xml:space="preserve">, </w:t>
      </w:r>
      <w:proofErr w:type="spellStart"/>
      <w:r w:rsidRPr="00612A91">
        <w:rPr>
          <w:rFonts w:ascii="Times New Roman" w:hAnsi="Times New Roman" w:cs="Times New Roman"/>
        </w:rPr>
        <w:t>Hokinton</w:t>
      </w:r>
      <w:proofErr w:type="spellEnd"/>
      <w:r w:rsidRPr="00612A91">
        <w:rPr>
          <w:rFonts w:ascii="Times New Roman" w:hAnsi="Times New Roman" w:cs="Times New Roman"/>
        </w:rPr>
        <w:t xml:space="preserve">, MA). Labeled </w:t>
      </w:r>
      <w:proofErr w:type="spellStart"/>
      <w:r w:rsidRPr="00612A91">
        <w:rPr>
          <w:rFonts w:ascii="Times New Roman" w:hAnsi="Times New Roman" w:cs="Times New Roman"/>
        </w:rPr>
        <w:t>cRNA</w:t>
      </w:r>
      <w:proofErr w:type="spellEnd"/>
      <w:r w:rsidRPr="00612A91">
        <w:rPr>
          <w:rFonts w:ascii="Times New Roman" w:hAnsi="Times New Roman" w:cs="Times New Roman"/>
        </w:rPr>
        <w:t xml:space="preserve"> was hybridized overnight</w:t>
      </w:r>
      <w:r>
        <w:rPr>
          <w:rFonts w:ascii="Times New Roman" w:hAnsi="Times New Roman" w:cs="Times New Roman"/>
        </w:rPr>
        <w:t xml:space="preserve">, followed by </w:t>
      </w:r>
      <w:r w:rsidRPr="00612A91">
        <w:rPr>
          <w:rFonts w:ascii="Times New Roman" w:hAnsi="Times New Roman" w:cs="Times New Roman"/>
        </w:rPr>
        <w:t>wash</w:t>
      </w:r>
      <w:r>
        <w:rPr>
          <w:rFonts w:ascii="Times New Roman" w:hAnsi="Times New Roman" w:cs="Times New Roman"/>
        </w:rPr>
        <w:t xml:space="preserve">ing </w:t>
      </w:r>
      <w:r w:rsidRPr="00612A91">
        <w:rPr>
          <w:rFonts w:ascii="Times New Roman" w:hAnsi="Times New Roman" w:cs="Times New Roman"/>
        </w:rPr>
        <w:t>and scann</w:t>
      </w:r>
      <w:r>
        <w:rPr>
          <w:rFonts w:ascii="Times New Roman" w:hAnsi="Times New Roman" w:cs="Times New Roman"/>
        </w:rPr>
        <w:t xml:space="preserve">ing the </w:t>
      </w:r>
      <w:r w:rsidRPr="00612A91">
        <w:rPr>
          <w:rFonts w:ascii="Times New Roman" w:hAnsi="Times New Roman" w:cs="Times New Roman"/>
        </w:rPr>
        <w:t>Human HT12-V4 array</w:t>
      </w:r>
      <w:r>
        <w:rPr>
          <w:rFonts w:ascii="Times New Roman" w:hAnsi="Times New Roman" w:cs="Times New Roman"/>
        </w:rPr>
        <w:t>s</w:t>
      </w:r>
      <w:r w:rsidRPr="00612A91">
        <w:rPr>
          <w:rFonts w:ascii="Times New Roman" w:hAnsi="Times New Roman" w:cs="Times New Roman"/>
        </w:rPr>
        <w:t xml:space="preserve"> (</w:t>
      </w:r>
      <w:proofErr w:type="spellStart"/>
      <w:r w:rsidRPr="00612A91">
        <w:rPr>
          <w:rFonts w:ascii="Times New Roman" w:hAnsi="Times New Roman" w:cs="Times New Roman"/>
        </w:rPr>
        <w:t>IIlumina</w:t>
      </w:r>
      <w:proofErr w:type="spellEnd"/>
      <w:r w:rsidRPr="00612A91">
        <w:rPr>
          <w:rFonts w:ascii="Times New Roman" w:hAnsi="Times New Roman" w:cs="Times New Roman"/>
        </w:rPr>
        <w:t xml:space="preserve">) following the manufacturer's protocols. </w:t>
      </w:r>
      <w:proofErr w:type="spellStart"/>
      <w:r w:rsidRPr="00612A91">
        <w:rPr>
          <w:rFonts w:ascii="Times New Roman" w:hAnsi="Times New Roman" w:cs="Times New Roman"/>
        </w:rPr>
        <w:t>Illumina's</w:t>
      </w:r>
      <w:proofErr w:type="spellEnd"/>
      <w:r w:rsidRPr="00612A91">
        <w:rPr>
          <w:rFonts w:ascii="Times New Roman" w:hAnsi="Times New Roman" w:cs="Times New Roman"/>
        </w:rPr>
        <w:t xml:space="preserve"> </w:t>
      </w:r>
      <w:proofErr w:type="spellStart"/>
      <w:r w:rsidRPr="00612A91">
        <w:rPr>
          <w:rFonts w:ascii="Times New Roman" w:hAnsi="Times New Roman" w:cs="Times New Roman"/>
        </w:rPr>
        <w:t>GenomeStudio</w:t>
      </w:r>
      <w:proofErr w:type="spellEnd"/>
      <w:r w:rsidRPr="00612A91">
        <w:rPr>
          <w:rFonts w:ascii="Times New Roman" w:hAnsi="Times New Roman" w:cs="Times New Roman"/>
        </w:rPr>
        <w:t xml:space="preserve"> v2011.1 software was used to generate and normalize signal intensity values from the scans. The signal intensity values were normalized and rescaled across multiple arrays and chips. The array data were further normalized using </w:t>
      </w:r>
      <w:proofErr w:type="spellStart"/>
      <w:r w:rsidRPr="00612A91">
        <w:rPr>
          <w:rFonts w:ascii="Times New Roman" w:hAnsi="Times New Roman" w:cs="Times New Roman"/>
        </w:rPr>
        <w:t>GeneSpring</w:t>
      </w:r>
      <w:proofErr w:type="spellEnd"/>
      <w:r w:rsidRPr="00612A91">
        <w:rPr>
          <w:rFonts w:ascii="Times New Roman" w:hAnsi="Times New Roman" w:cs="Times New Roman"/>
        </w:rPr>
        <w:t xml:space="preserve"> GX7.3 software (Agilent Technologies, Santa Clara, CA). </w:t>
      </w:r>
      <w:r>
        <w:rPr>
          <w:rFonts w:ascii="Times New Roman" w:hAnsi="Times New Roman" w:cs="Times New Roman"/>
        </w:rPr>
        <w:t>In brief, unsupervised analysis was conducted with following criteria:</w:t>
      </w:r>
      <w:r w:rsidRPr="00AD4DD6">
        <w:rPr>
          <w:rFonts w:ascii="Times New Roman" w:hAnsi="Times New Roman" w:cs="Times New Roman"/>
        </w:rPr>
        <w:t xml:space="preserve"> transcripts must be detected in at</w:t>
      </w:r>
      <w:r>
        <w:rPr>
          <w:rFonts w:ascii="Times New Roman" w:hAnsi="Times New Roman" w:cs="Times New Roman"/>
        </w:rPr>
        <w:t xml:space="preserve"> least one sample (p&lt;0.01)-PALO.  T</w:t>
      </w:r>
      <w:r w:rsidRPr="00B76FDD">
        <w:rPr>
          <w:rFonts w:ascii="Times New Roman" w:hAnsi="Times New Roman" w:cs="Times New Roman"/>
        </w:rPr>
        <w:t xml:space="preserve">he hierarchical clustering </w:t>
      </w:r>
      <w:r>
        <w:rPr>
          <w:rFonts w:ascii="Times New Roman" w:hAnsi="Times New Roman" w:cs="Times New Roman"/>
        </w:rPr>
        <w:t>was</w:t>
      </w:r>
      <w:r w:rsidRPr="00B76FDD">
        <w:rPr>
          <w:rFonts w:ascii="Times New Roman" w:hAnsi="Times New Roman" w:cs="Times New Roman"/>
        </w:rPr>
        <w:t xml:space="preserve"> </w:t>
      </w:r>
      <w:r>
        <w:rPr>
          <w:rFonts w:ascii="Times New Roman" w:hAnsi="Times New Roman" w:cs="Times New Roman"/>
        </w:rPr>
        <w:t xml:space="preserve">then </w:t>
      </w:r>
      <w:r w:rsidRPr="00B76FDD">
        <w:rPr>
          <w:rFonts w:ascii="Times New Roman" w:hAnsi="Times New Roman" w:cs="Times New Roman"/>
        </w:rPr>
        <w:t>per</w:t>
      </w:r>
      <w:r>
        <w:rPr>
          <w:rFonts w:ascii="Times New Roman" w:hAnsi="Times New Roman" w:cs="Times New Roman"/>
        </w:rPr>
        <w:t>formed on the expressed genes (i.</w:t>
      </w:r>
      <w:r w:rsidRPr="00B76FDD">
        <w:rPr>
          <w:rFonts w:ascii="Times New Roman" w:hAnsi="Times New Roman" w:cs="Times New Roman"/>
        </w:rPr>
        <w:t>e</w:t>
      </w:r>
      <w:r>
        <w:rPr>
          <w:rFonts w:ascii="Times New Roman" w:hAnsi="Times New Roman" w:cs="Times New Roman"/>
        </w:rPr>
        <w:t>.</w:t>
      </w:r>
      <w:r w:rsidRPr="00B76FDD">
        <w:rPr>
          <w:rFonts w:ascii="Times New Roman" w:hAnsi="Times New Roman" w:cs="Times New Roman"/>
        </w:rPr>
        <w:t xml:space="preserve"> the transcripts</w:t>
      </w:r>
      <w:r>
        <w:rPr>
          <w:rFonts w:ascii="Times New Roman" w:hAnsi="Times New Roman" w:cs="Times New Roman"/>
        </w:rPr>
        <w:t>)</w:t>
      </w:r>
      <w:r w:rsidRPr="00B76FDD">
        <w:rPr>
          <w:rFonts w:ascii="Times New Roman" w:hAnsi="Times New Roman" w:cs="Times New Roman"/>
        </w:rPr>
        <w:t xml:space="preserve"> with a detection p-value less than 0.01 in at least</w:t>
      </w:r>
      <w:r>
        <w:rPr>
          <w:rFonts w:ascii="Times New Roman" w:hAnsi="Times New Roman" w:cs="Times New Roman"/>
        </w:rPr>
        <w:t xml:space="preserve"> one sample, yielding 21997 transcripts,</w:t>
      </w:r>
      <w:r w:rsidRPr="00EA5E17">
        <w:rPr>
          <w:rFonts w:ascii="Times New Roman" w:hAnsi="Times New Roman" w:cs="Times New Roman"/>
        </w:rPr>
        <w:t xml:space="preserve"> </w:t>
      </w:r>
      <w:r w:rsidRPr="00AD4DD6">
        <w:rPr>
          <w:rFonts w:ascii="Times New Roman" w:hAnsi="Times New Roman" w:cs="Times New Roman"/>
        </w:rPr>
        <w:t>while the similarity or dissimilarity of gene expression profiles was measured using Pearson</w:t>
      </w:r>
      <w:r>
        <w:rPr>
          <w:rFonts w:ascii="Times New Roman" w:hAnsi="Times New Roman" w:cs="Times New Roman"/>
        </w:rPr>
        <w:t>’s</w:t>
      </w:r>
      <w:r w:rsidRPr="00AD4DD6">
        <w:rPr>
          <w:rFonts w:ascii="Times New Roman" w:hAnsi="Times New Roman" w:cs="Times New Roman"/>
        </w:rPr>
        <w:t xml:space="preserve"> correlation. By using this algorithm, samples were segregated into distinct groups based on similarity in expression patterns. </w:t>
      </w:r>
      <w:r w:rsidRPr="00B76FDD">
        <w:rPr>
          <w:rFonts w:ascii="Times New Roman" w:hAnsi="Times New Roman" w:cs="Times New Roman"/>
        </w:rPr>
        <w:t xml:space="preserve">Differential gene expression analysis was performed using T-test analysis at FDR 0.05 with </w:t>
      </w:r>
      <w:proofErr w:type="spellStart"/>
      <w:r w:rsidRPr="00B76FDD">
        <w:rPr>
          <w:rFonts w:ascii="Times New Roman" w:hAnsi="Times New Roman" w:cs="Times New Roman"/>
        </w:rPr>
        <w:t>Benjamini</w:t>
      </w:r>
      <w:proofErr w:type="spellEnd"/>
      <w:r w:rsidRPr="00B76FDD">
        <w:rPr>
          <w:rFonts w:ascii="Times New Roman" w:hAnsi="Times New Roman" w:cs="Times New Roman"/>
        </w:rPr>
        <w:t>-Hochberg correction</w:t>
      </w:r>
      <w:r>
        <w:rPr>
          <w:rFonts w:ascii="Times New Roman" w:hAnsi="Times New Roman" w:cs="Times New Roman"/>
        </w:rPr>
        <w:t xml:space="preserve">. </w:t>
      </w:r>
      <w:r w:rsidRPr="00AD4DD6">
        <w:rPr>
          <w:rFonts w:ascii="Times New Roman" w:hAnsi="Times New Roman" w:cs="Times New Roman"/>
        </w:rPr>
        <w:t>Supervised analysis</w:t>
      </w:r>
      <w:r>
        <w:rPr>
          <w:rFonts w:ascii="Times New Roman" w:hAnsi="Times New Roman" w:cs="Times New Roman"/>
        </w:rPr>
        <w:t xml:space="preserve"> was then conducted</w:t>
      </w:r>
      <w:r w:rsidRPr="00AD4DD6">
        <w:rPr>
          <w:rFonts w:ascii="Times New Roman" w:hAnsi="Times New Roman" w:cs="Times New Roman"/>
        </w:rPr>
        <w:t xml:space="preserve"> to identify probes that are differentially expressed by a fold change of 1.5 and difference of 100 in the </w:t>
      </w:r>
      <w:r>
        <w:rPr>
          <w:rFonts w:ascii="Times New Roman" w:hAnsi="Times New Roman" w:cs="Times New Roman"/>
        </w:rPr>
        <w:t xml:space="preserve">gene </w:t>
      </w:r>
      <w:r w:rsidRPr="00AD4DD6">
        <w:rPr>
          <w:rFonts w:ascii="Times New Roman" w:hAnsi="Times New Roman" w:cs="Times New Roman"/>
        </w:rPr>
        <w:t>signal in</w:t>
      </w:r>
      <w:r>
        <w:rPr>
          <w:rFonts w:ascii="Times New Roman" w:hAnsi="Times New Roman" w:cs="Times New Roman"/>
        </w:rPr>
        <w:t>tensity compared to the control groups</w:t>
      </w:r>
      <w:r w:rsidRPr="00AD4DD6">
        <w:rPr>
          <w:rFonts w:ascii="Times New Roman" w:hAnsi="Times New Roman" w:cs="Times New Roman"/>
        </w:rPr>
        <w:t>.</w:t>
      </w:r>
      <w:r>
        <w:rPr>
          <w:rFonts w:ascii="Times New Roman" w:hAnsi="Times New Roman" w:cs="Times New Roman"/>
        </w:rPr>
        <w:t xml:space="preserve"> </w:t>
      </w:r>
      <w:r w:rsidRPr="00612A91">
        <w:rPr>
          <w:rFonts w:ascii="Times New Roman" w:hAnsi="Times New Roman" w:cs="Times New Roman"/>
        </w:rPr>
        <w:t>Ingenuity Pathway Analysis (IPA) (Ingenuity systems Inc., Redwood City, CA) was used to categorize differentially expressed genes into various functional pathways.</w:t>
      </w:r>
    </w:p>
    <w:p w:rsidR="002100D3" w:rsidRDefault="002100D3" w:rsidP="004B109A">
      <w:pPr>
        <w:rPr>
          <w:rFonts w:ascii="Times New Roman" w:hAnsi="Times New Roman" w:cs="Times New Roman"/>
          <w:b/>
          <w:smallCaps/>
          <w:color w:val="548DD4" w:themeColor="text2" w:themeTint="99"/>
          <w:sz w:val="28"/>
        </w:rPr>
      </w:pPr>
    </w:p>
    <w:p w:rsidR="002100D3" w:rsidRDefault="002100D3" w:rsidP="004B109A">
      <w:pPr>
        <w:rPr>
          <w:rFonts w:ascii="Times New Roman" w:hAnsi="Times New Roman" w:cs="Times New Roman"/>
          <w:b/>
          <w:smallCaps/>
          <w:color w:val="548DD4" w:themeColor="text2" w:themeTint="99"/>
          <w:sz w:val="28"/>
        </w:rPr>
      </w:pPr>
    </w:p>
    <w:p w:rsidR="004B109A" w:rsidRPr="00756690" w:rsidRDefault="004B109A" w:rsidP="004B109A">
      <w:pPr>
        <w:rPr>
          <w:rFonts w:ascii="Times New Roman" w:hAnsi="Times New Roman" w:cs="Times New Roman"/>
        </w:rPr>
      </w:pPr>
      <w:r>
        <w:rPr>
          <w:rFonts w:ascii="Times New Roman" w:hAnsi="Times New Roman" w:cs="Times New Roman"/>
          <w:b/>
          <w:smallCaps/>
          <w:color w:val="548DD4" w:themeColor="text2" w:themeTint="99"/>
          <w:sz w:val="28"/>
        </w:rPr>
        <w:lastRenderedPageBreak/>
        <w:t>Supplementary Tables:</w:t>
      </w:r>
    </w:p>
    <w:p w:rsidR="00EB329F" w:rsidRDefault="00EB329F" w:rsidP="004B109A">
      <w:pPr>
        <w:spacing w:after="0" w:line="480" w:lineRule="auto"/>
        <w:jc w:val="both"/>
        <w:rPr>
          <w:rFonts w:ascii="Times New Roman" w:hAnsi="Times New Roman" w:cs="Times New Roman"/>
          <w:b/>
          <w:sz w:val="24"/>
        </w:rPr>
      </w:pPr>
    </w:p>
    <w:p w:rsidR="004B109A" w:rsidRPr="005A0498" w:rsidRDefault="004B109A" w:rsidP="004B109A">
      <w:pPr>
        <w:spacing w:after="0" w:line="480" w:lineRule="auto"/>
        <w:jc w:val="both"/>
        <w:rPr>
          <w:rFonts w:ascii="Times New Roman" w:hAnsi="Times New Roman" w:cs="Times New Roman"/>
          <w:b/>
          <w:sz w:val="24"/>
        </w:rPr>
      </w:pPr>
      <w:r w:rsidRPr="005A0498">
        <w:rPr>
          <w:rFonts w:ascii="Times New Roman" w:hAnsi="Times New Roman" w:cs="Times New Roman"/>
          <w:b/>
          <w:sz w:val="24"/>
        </w:rPr>
        <w:t xml:space="preserve">Supplementary Table 1: </w:t>
      </w:r>
    </w:p>
    <w:tbl>
      <w:tblPr>
        <w:tblW w:w="6264" w:type="dxa"/>
        <w:tblCellMar>
          <w:left w:w="0" w:type="dxa"/>
          <w:right w:w="0" w:type="dxa"/>
        </w:tblCellMar>
        <w:tblLook w:val="0420" w:firstRow="1" w:lastRow="0" w:firstColumn="0" w:lastColumn="0" w:noHBand="0" w:noVBand="1"/>
      </w:tblPr>
      <w:tblGrid>
        <w:gridCol w:w="2214"/>
        <w:gridCol w:w="4050"/>
      </w:tblGrid>
      <w:tr w:rsidR="004B109A" w:rsidRPr="004B109A" w:rsidTr="002100D3">
        <w:trPr>
          <w:trHeight w:val="88"/>
        </w:trPr>
        <w:tc>
          <w:tcPr>
            <w:tcW w:w="22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b/>
                <w:bCs/>
                <w:color w:val="FFFFFF" w:themeColor="light1"/>
                <w:kern w:val="24"/>
                <w:sz w:val="20"/>
                <w:szCs w:val="20"/>
              </w:rPr>
              <w:t>Primers</w:t>
            </w:r>
          </w:p>
        </w:tc>
        <w:tc>
          <w:tcPr>
            <w:tcW w:w="40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b/>
                <w:bCs/>
                <w:color w:val="FFFFFF" w:themeColor="light1"/>
                <w:kern w:val="24"/>
                <w:sz w:val="20"/>
                <w:szCs w:val="20"/>
              </w:rPr>
              <w:t>Sequence</w:t>
            </w:r>
          </w:p>
        </w:tc>
      </w:tr>
      <w:tr w:rsidR="004B109A" w:rsidRPr="004B109A" w:rsidTr="002100D3">
        <w:trPr>
          <w:trHeight w:val="30"/>
        </w:trPr>
        <w:tc>
          <w:tcPr>
            <w:tcW w:w="2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proofErr w:type="spellStart"/>
            <w:r w:rsidRPr="004B109A">
              <w:rPr>
                <w:rFonts w:ascii="Arial" w:eastAsia="Times New Roman" w:hAnsi="Arial" w:cs="Arial"/>
                <w:color w:val="000000" w:themeColor="dark1"/>
                <w:kern w:val="24"/>
                <w:sz w:val="20"/>
                <w:szCs w:val="20"/>
              </w:rPr>
              <w:t>cMyc</w:t>
            </w:r>
            <w:proofErr w:type="spellEnd"/>
            <w:r w:rsidRPr="004B109A">
              <w:rPr>
                <w:rFonts w:ascii="Arial" w:eastAsia="Times New Roman" w:hAnsi="Arial" w:cs="Arial"/>
                <w:color w:val="000000" w:themeColor="dark1"/>
                <w:kern w:val="24"/>
                <w:sz w:val="20"/>
                <w:szCs w:val="20"/>
              </w:rPr>
              <w:t xml:space="preserve">         (</w:t>
            </w:r>
            <w:proofErr w:type="spellStart"/>
            <w:r w:rsidRPr="004B109A">
              <w:rPr>
                <w:rFonts w:ascii="Arial" w:eastAsia="Times New Roman" w:hAnsi="Arial" w:cs="Arial"/>
                <w:color w:val="000000" w:themeColor="dark1"/>
                <w:kern w:val="24"/>
                <w:sz w:val="20"/>
                <w:szCs w:val="20"/>
              </w:rPr>
              <w:t>foward</w:t>
            </w:r>
            <w:proofErr w:type="spellEnd"/>
            <w:r w:rsidRPr="004B109A">
              <w:rPr>
                <w:rFonts w:ascii="Arial" w:eastAsia="Times New Roman" w:hAnsi="Arial" w:cs="Arial"/>
                <w:color w:val="000000" w:themeColor="dark1"/>
                <w:kern w:val="24"/>
                <w:sz w:val="20"/>
                <w:szCs w:val="20"/>
              </w:rPr>
              <w:t>)</w:t>
            </w:r>
          </w:p>
        </w:tc>
        <w:tc>
          <w:tcPr>
            <w:tcW w:w="40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CGT CTC CAC ACA TCA GCA CAA</w:t>
            </w:r>
          </w:p>
        </w:tc>
      </w:tr>
      <w:tr w:rsidR="004B109A" w:rsidRPr="004B109A" w:rsidTr="002100D3">
        <w:trPr>
          <w:trHeight w:val="79"/>
        </w:trPr>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                  (reverse)</w:t>
            </w:r>
          </w:p>
        </w:tc>
        <w:tc>
          <w:tcPr>
            <w:tcW w:w="4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5’- TCT TGG CAG </w:t>
            </w:r>
            <w:proofErr w:type="spellStart"/>
            <w:r w:rsidRPr="004B109A">
              <w:rPr>
                <w:rFonts w:ascii="Arial" w:eastAsia="Times New Roman" w:hAnsi="Arial" w:cs="Arial"/>
                <w:color w:val="000000" w:themeColor="dark1"/>
                <w:kern w:val="24"/>
                <w:sz w:val="20"/>
                <w:szCs w:val="20"/>
              </w:rPr>
              <w:t>CAG</w:t>
            </w:r>
            <w:proofErr w:type="spellEnd"/>
            <w:r w:rsidRPr="004B109A">
              <w:rPr>
                <w:rFonts w:ascii="Arial" w:eastAsia="Times New Roman" w:hAnsi="Arial" w:cs="Arial"/>
                <w:color w:val="000000" w:themeColor="dark1"/>
                <w:kern w:val="24"/>
                <w:sz w:val="20"/>
                <w:szCs w:val="20"/>
              </w:rPr>
              <w:t xml:space="preserve"> GAT AGT CCT T</w:t>
            </w:r>
          </w:p>
        </w:tc>
      </w:tr>
      <w:tr w:rsidR="004B109A" w:rsidRPr="004B109A" w:rsidTr="002100D3">
        <w:trPr>
          <w:trHeight w:val="70"/>
        </w:trPr>
        <w:tc>
          <w:tcPr>
            <w:tcW w:w="2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FBXW7     (forward)</w:t>
            </w:r>
          </w:p>
        </w:tc>
        <w:tc>
          <w:tcPr>
            <w:tcW w:w="4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5’- AAA GAG TTG TTA GCG GTT CTC G                               </w:t>
            </w:r>
          </w:p>
        </w:tc>
      </w:tr>
      <w:tr w:rsidR="004B109A" w:rsidRPr="004B109A" w:rsidTr="002100D3">
        <w:trPr>
          <w:trHeight w:val="16"/>
        </w:trPr>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                  (reverse)</w:t>
            </w:r>
          </w:p>
        </w:tc>
        <w:tc>
          <w:tcPr>
            <w:tcW w:w="4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CCA CAT GGA TAC CAT CAA ACT G</w:t>
            </w:r>
          </w:p>
        </w:tc>
      </w:tr>
      <w:tr w:rsidR="004B109A" w:rsidRPr="004B109A" w:rsidTr="002100D3">
        <w:trPr>
          <w:trHeight w:val="16"/>
        </w:trPr>
        <w:tc>
          <w:tcPr>
            <w:tcW w:w="2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CDK4        (forward)</w:t>
            </w:r>
          </w:p>
        </w:tc>
        <w:tc>
          <w:tcPr>
            <w:tcW w:w="4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ATG TTG TCC GGC TGA TGG A</w:t>
            </w:r>
          </w:p>
        </w:tc>
      </w:tr>
      <w:tr w:rsidR="004B109A" w:rsidRPr="004B109A" w:rsidTr="002100D3">
        <w:trPr>
          <w:trHeight w:val="16"/>
        </w:trPr>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                  (reverse)</w:t>
            </w:r>
          </w:p>
        </w:tc>
        <w:tc>
          <w:tcPr>
            <w:tcW w:w="4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CAC CAG GGT TAC CTT GAT CTC C</w:t>
            </w:r>
          </w:p>
        </w:tc>
      </w:tr>
      <w:tr w:rsidR="004B109A" w:rsidRPr="004B109A" w:rsidTr="002100D3">
        <w:trPr>
          <w:trHeight w:val="16"/>
        </w:trPr>
        <w:tc>
          <w:tcPr>
            <w:tcW w:w="2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CDK6        (forward)</w:t>
            </w:r>
          </w:p>
        </w:tc>
        <w:tc>
          <w:tcPr>
            <w:tcW w:w="4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GCC TAT GGG AAG GTG TTC AA</w:t>
            </w:r>
          </w:p>
        </w:tc>
      </w:tr>
      <w:tr w:rsidR="004B109A" w:rsidRPr="004B109A" w:rsidTr="002100D3">
        <w:trPr>
          <w:trHeight w:val="79"/>
        </w:trPr>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                  (reverse)</w:t>
            </w:r>
          </w:p>
        </w:tc>
        <w:tc>
          <w:tcPr>
            <w:tcW w:w="4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CAC TCC AGG CTC TGG AAC TT</w:t>
            </w:r>
          </w:p>
        </w:tc>
      </w:tr>
      <w:tr w:rsidR="004B109A" w:rsidRPr="004B109A" w:rsidTr="002100D3">
        <w:trPr>
          <w:trHeight w:val="223"/>
        </w:trPr>
        <w:tc>
          <w:tcPr>
            <w:tcW w:w="2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proofErr w:type="spellStart"/>
            <w:r w:rsidRPr="004B109A">
              <w:rPr>
                <w:rFonts w:ascii="Arial" w:eastAsia="Times New Roman" w:hAnsi="Arial" w:cs="Arial"/>
                <w:color w:val="000000" w:themeColor="dark1"/>
                <w:kern w:val="24"/>
                <w:sz w:val="20"/>
                <w:szCs w:val="20"/>
              </w:rPr>
              <w:t>Cyclin</w:t>
            </w:r>
            <w:proofErr w:type="spellEnd"/>
            <w:r w:rsidRPr="004B109A">
              <w:rPr>
                <w:rFonts w:ascii="Arial" w:eastAsia="Times New Roman" w:hAnsi="Arial" w:cs="Arial"/>
                <w:color w:val="000000" w:themeColor="dark1"/>
                <w:kern w:val="24"/>
                <w:sz w:val="20"/>
                <w:szCs w:val="20"/>
              </w:rPr>
              <w:t xml:space="preserve"> D1   (forward)</w:t>
            </w:r>
          </w:p>
        </w:tc>
        <w:tc>
          <w:tcPr>
            <w:tcW w:w="4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AAT GAC CCC GCA CGA TTT C</w:t>
            </w:r>
          </w:p>
        </w:tc>
      </w:tr>
      <w:tr w:rsidR="004B109A" w:rsidRPr="004B109A" w:rsidTr="002100D3">
        <w:trPr>
          <w:trHeight w:val="97"/>
        </w:trPr>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                   (reverse)</w:t>
            </w:r>
          </w:p>
        </w:tc>
        <w:tc>
          <w:tcPr>
            <w:tcW w:w="4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5’- TCA GGT TCA GGC CTT GCA C </w:t>
            </w:r>
          </w:p>
        </w:tc>
      </w:tr>
      <w:tr w:rsidR="004B109A" w:rsidRPr="004B109A" w:rsidTr="002100D3">
        <w:trPr>
          <w:trHeight w:val="16"/>
        </w:trPr>
        <w:tc>
          <w:tcPr>
            <w:tcW w:w="2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proofErr w:type="spellStart"/>
            <w:r w:rsidRPr="004B109A">
              <w:rPr>
                <w:rFonts w:ascii="Arial" w:eastAsia="Times New Roman" w:hAnsi="Arial" w:cs="Arial"/>
                <w:color w:val="000000" w:themeColor="dark1"/>
                <w:kern w:val="24"/>
                <w:sz w:val="20"/>
                <w:szCs w:val="20"/>
              </w:rPr>
              <w:t>Cyclin</w:t>
            </w:r>
            <w:proofErr w:type="spellEnd"/>
            <w:r w:rsidRPr="004B109A">
              <w:rPr>
                <w:rFonts w:ascii="Arial" w:eastAsia="Times New Roman" w:hAnsi="Arial" w:cs="Arial"/>
                <w:color w:val="000000" w:themeColor="dark1"/>
                <w:kern w:val="24"/>
                <w:sz w:val="20"/>
                <w:szCs w:val="20"/>
              </w:rPr>
              <w:t xml:space="preserve"> E1   (forward)</w:t>
            </w:r>
          </w:p>
        </w:tc>
        <w:tc>
          <w:tcPr>
            <w:tcW w:w="4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ATC CTC CAA AGT TGC ACC AG</w:t>
            </w:r>
          </w:p>
        </w:tc>
      </w:tr>
      <w:tr w:rsidR="004B109A" w:rsidRPr="004B109A" w:rsidTr="002100D3">
        <w:trPr>
          <w:trHeight w:val="16"/>
        </w:trPr>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                  (reverse)</w:t>
            </w:r>
          </w:p>
        </w:tc>
        <w:tc>
          <w:tcPr>
            <w:tcW w:w="4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AGG GGA CTT AAA CGC CAC TT</w:t>
            </w:r>
          </w:p>
        </w:tc>
      </w:tr>
      <w:tr w:rsidR="004B109A" w:rsidRPr="004B109A" w:rsidTr="002100D3">
        <w:trPr>
          <w:trHeight w:val="277"/>
        </w:trPr>
        <w:tc>
          <w:tcPr>
            <w:tcW w:w="2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GAPDH     (forward)</w:t>
            </w:r>
          </w:p>
        </w:tc>
        <w:tc>
          <w:tcPr>
            <w:tcW w:w="4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ACC CAG AAG ACT GTG GAT GG</w:t>
            </w:r>
          </w:p>
        </w:tc>
      </w:tr>
      <w:tr w:rsidR="004B109A" w:rsidRPr="004B109A" w:rsidTr="002100D3">
        <w:trPr>
          <w:trHeight w:val="214"/>
        </w:trPr>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 xml:space="preserve">                  (reverse)</w:t>
            </w:r>
          </w:p>
        </w:tc>
        <w:tc>
          <w:tcPr>
            <w:tcW w:w="4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109A" w:rsidRPr="004B109A" w:rsidRDefault="004B109A" w:rsidP="004B109A">
            <w:pPr>
              <w:spacing w:after="0" w:line="240" w:lineRule="auto"/>
              <w:rPr>
                <w:rFonts w:ascii="Arial" w:eastAsia="Times New Roman" w:hAnsi="Arial" w:cs="Arial"/>
                <w:sz w:val="20"/>
                <w:szCs w:val="20"/>
              </w:rPr>
            </w:pPr>
            <w:r w:rsidRPr="004B109A">
              <w:rPr>
                <w:rFonts w:ascii="Arial" w:eastAsia="Times New Roman" w:hAnsi="Arial" w:cs="Arial"/>
                <w:color w:val="000000" w:themeColor="dark1"/>
                <w:kern w:val="24"/>
                <w:sz w:val="20"/>
                <w:szCs w:val="20"/>
              </w:rPr>
              <w:t>5’- CAG TGA GCT TCC CGT TCA G</w:t>
            </w:r>
          </w:p>
        </w:tc>
      </w:tr>
    </w:tbl>
    <w:p w:rsidR="004B109A" w:rsidRDefault="004B109A" w:rsidP="0017758F">
      <w:pPr>
        <w:spacing w:line="480" w:lineRule="auto"/>
        <w:jc w:val="both"/>
        <w:rPr>
          <w:rFonts w:ascii="Times New Roman" w:hAnsi="Times New Roman" w:cs="Times New Roman"/>
          <w:b/>
          <w:smallCaps/>
          <w:color w:val="548DD4" w:themeColor="text2" w:themeTint="99"/>
          <w:sz w:val="28"/>
        </w:rPr>
      </w:pPr>
    </w:p>
    <w:p w:rsidR="00EB329F" w:rsidRDefault="00EB329F" w:rsidP="004B109A">
      <w:pPr>
        <w:spacing w:after="0" w:line="480" w:lineRule="auto"/>
        <w:jc w:val="both"/>
        <w:rPr>
          <w:rFonts w:ascii="Times New Roman" w:hAnsi="Times New Roman" w:cs="Times New Roman"/>
          <w:b/>
          <w:sz w:val="24"/>
        </w:rPr>
      </w:pPr>
    </w:p>
    <w:p w:rsidR="00EB329F" w:rsidRDefault="00EB329F" w:rsidP="004B109A">
      <w:pPr>
        <w:spacing w:after="0" w:line="480" w:lineRule="auto"/>
        <w:jc w:val="both"/>
        <w:rPr>
          <w:rFonts w:ascii="Times New Roman" w:hAnsi="Times New Roman" w:cs="Times New Roman"/>
          <w:b/>
          <w:sz w:val="24"/>
        </w:rPr>
      </w:pPr>
    </w:p>
    <w:p w:rsidR="00EB329F" w:rsidRDefault="00EB329F" w:rsidP="004B109A">
      <w:pPr>
        <w:spacing w:after="0" w:line="480" w:lineRule="auto"/>
        <w:jc w:val="both"/>
        <w:rPr>
          <w:rFonts w:ascii="Times New Roman" w:hAnsi="Times New Roman" w:cs="Times New Roman"/>
          <w:b/>
          <w:sz w:val="24"/>
        </w:rPr>
      </w:pPr>
    </w:p>
    <w:p w:rsidR="00EB329F" w:rsidRDefault="00EB329F" w:rsidP="004B109A">
      <w:pPr>
        <w:spacing w:after="0" w:line="480" w:lineRule="auto"/>
        <w:jc w:val="both"/>
        <w:rPr>
          <w:rFonts w:ascii="Times New Roman" w:hAnsi="Times New Roman" w:cs="Times New Roman"/>
          <w:b/>
          <w:sz w:val="24"/>
        </w:rPr>
      </w:pPr>
    </w:p>
    <w:p w:rsidR="00EB329F" w:rsidRDefault="00EB329F" w:rsidP="004B109A">
      <w:pPr>
        <w:spacing w:after="0" w:line="480" w:lineRule="auto"/>
        <w:jc w:val="both"/>
        <w:rPr>
          <w:rFonts w:ascii="Times New Roman" w:hAnsi="Times New Roman" w:cs="Times New Roman"/>
          <w:b/>
          <w:sz w:val="24"/>
        </w:rPr>
      </w:pPr>
    </w:p>
    <w:p w:rsidR="00B75607" w:rsidRDefault="00B75607" w:rsidP="004B109A">
      <w:pPr>
        <w:spacing w:after="0" w:line="480" w:lineRule="auto"/>
        <w:jc w:val="both"/>
        <w:rPr>
          <w:rFonts w:ascii="Times New Roman" w:hAnsi="Times New Roman" w:cs="Times New Roman"/>
          <w:b/>
          <w:sz w:val="24"/>
        </w:rPr>
      </w:pPr>
    </w:p>
    <w:p w:rsidR="00B75607" w:rsidRDefault="00B75607" w:rsidP="004B109A">
      <w:pPr>
        <w:spacing w:after="0" w:line="480" w:lineRule="auto"/>
        <w:jc w:val="both"/>
        <w:rPr>
          <w:rFonts w:ascii="Times New Roman" w:hAnsi="Times New Roman" w:cs="Times New Roman"/>
          <w:b/>
          <w:sz w:val="24"/>
        </w:rPr>
      </w:pPr>
    </w:p>
    <w:p w:rsidR="00B75607" w:rsidRDefault="00B75607" w:rsidP="004B109A">
      <w:pPr>
        <w:spacing w:after="0" w:line="480" w:lineRule="auto"/>
        <w:jc w:val="both"/>
        <w:rPr>
          <w:rFonts w:ascii="Times New Roman" w:hAnsi="Times New Roman" w:cs="Times New Roman"/>
          <w:b/>
          <w:sz w:val="24"/>
        </w:rPr>
      </w:pPr>
      <w:bookmarkStart w:id="0" w:name="_GoBack"/>
      <w:bookmarkEnd w:id="0"/>
    </w:p>
    <w:p w:rsidR="004B109A" w:rsidRPr="005A0498" w:rsidRDefault="004B109A" w:rsidP="004B109A">
      <w:pPr>
        <w:spacing w:after="0" w:line="480" w:lineRule="auto"/>
        <w:jc w:val="both"/>
        <w:rPr>
          <w:rFonts w:ascii="Times New Roman" w:hAnsi="Times New Roman" w:cs="Times New Roman"/>
          <w:b/>
          <w:sz w:val="24"/>
        </w:rPr>
      </w:pPr>
      <w:r w:rsidRPr="005A0498">
        <w:rPr>
          <w:rFonts w:ascii="Times New Roman" w:hAnsi="Times New Roman" w:cs="Times New Roman"/>
          <w:b/>
          <w:sz w:val="24"/>
        </w:rPr>
        <w:lastRenderedPageBreak/>
        <w:t xml:space="preserve">Supplementary Table </w:t>
      </w:r>
      <w:r w:rsidR="00845A58">
        <w:rPr>
          <w:rFonts w:ascii="Times New Roman" w:hAnsi="Times New Roman" w:cs="Times New Roman"/>
          <w:b/>
          <w:sz w:val="24"/>
        </w:rPr>
        <w:t>2</w:t>
      </w:r>
      <w:r w:rsidRPr="005A0498">
        <w:rPr>
          <w:rFonts w:ascii="Times New Roman" w:hAnsi="Times New Roman" w:cs="Times New Roman"/>
          <w:b/>
          <w:sz w:val="24"/>
        </w:rPr>
        <w:t xml:space="preserve">: </w:t>
      </w:r>
    </w:p>
    <w:tbl>
      <w:tblPr>
        <w:tblW w:w="4800" w:type="dxa"/>
        <w:tblCellMar>
          <w:left w:w="0" w:type="dxa"/>
          <w:right w:w="0" w:type="dxa"/>
        </w:tblCellMar>
        <w:tblLook w:val="0420" w:firstRow="1" w:lastRow="0" w:firstColumn="0" w:lastColumn="0" w:noHBand="0" w:noVBand="1"/>
      </w:tblPr>
      <w:tblGrid>
        <w:gridCol w:w="1740"/>
        <w:gridCol w:w="3060"/>
      </w:tblGrid>
      <w:tr w:rsidR="00EB329F" w:rsidRPr="00EB329F" w:rsidTr="00EB329F">
        <w:trPr>
          <w:trHeight w:val="16"/>
        </w:trPr>
        <w:tc>
          <w:tcPr>
            <w:tcW w:w="17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b/>
                <w:bCs/>
                <w:color w:val="FFFFFF" w:themeColor="light1"/>
                <w:kern w:val="24"/>
                <w:sz w:val="20"/>
                <w:szCs w:val="20"/>
              </w:rPr>
              <w:t>Antibody</w:t>
            </w:r>
          </w:p>
        </w:tc>
        <w:tc>
          <w:tcPr>
            <w:tcW w:w="30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b/>
                <w:bCs/>
                <w:color w:val="FFFFFF" w:themeColor="light1"/>
                <w:kern w:val="24"/>
                <w:sz w:val="20"/>
                <w:szCs w:val="20"/>
              </w:rPr>
              <w:t>Manufacturer</w:t>
            </w:r>
          </w:p>
        </w:tc>
      </w:tr>
      <w:tr w:rsidR="00EB329F" w:rsidRPr="00EB329F" w:rsidTr="00EB329F">
        <w:trPr>
          <w:trHeight w:val="26"/>
        </w:trPr>
        <w:tc>
          <w:tcPr>
            <w:tcW w:w="17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p53</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Santa Cruz Biotechnology</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c-</w:t>
            </w:r>
            <w:proofErr w:type="spellStart"/>
            <w:r w:rsidRPr="00EB329F">
              <w:rPr>
                <w:rFonts w:ascii="Arial" w:eastAsia="Times New Roman" w:hAnsi="Arial" w:cs="Arial"/>
                <w:color w:val="000000" w:themeColor="dark1"/>
                <w:kern w:val="24"/>
                <w:sz w:val="20"/>
                <w:szCs w:val="20"/>
              </w:rPr>
              <w:t>Myc</w:t>
            </w:r>
            <w:proofErr w:type="spellEnd"/>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proofErr w:type="spellStart"/>
            <w:r w:rsidRPr="00EB329F">
              <w:rPr>
                <w:rFonts w:ascii="Arial" w:eastAsia="Times New Roman" w:hAnsi="Arial" w:cs="Arial"/>
                <w:color w:val="000000" w:themeColor="dark1"/>
                <w:kern w:val="24"/>
                <w:sz w:val="20"/>
                <w:szCs w:val="20"/>
              </w:rPr>
              <w:t>Chemicon</w:t>
            </w:r>
            <w:proofErr w:type="spellEnd"/>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CDK4</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BD Biosciences</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CDK6</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Cell Signaling</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proofErr w:type="spellStart"/>
            <w:r w:rsidRPr="00EB329F">
              <w:rPr>
                <w:rFonts w:ascii="Arial" w:eastAsia="Times New Roman" w:hAnsi="Arial" w:cs="Arial"/>
                <w:color w:val="000000" w:themeColor="dark1"/>
                <w:kern w:val="24"/>
                <w:sz w:val="20"/>
                <w:szCs w:val="20"/>
              </w:rPr>
              <w:t>Cyclin</w:t>
            </w:r>
            <w:proofErr w:type="spellEnd"/>
            <w:r w:rsidRPr="00EB329F">
              <w:rPr>
                <w:rFonts w:ascii="Arial" w:eastAsia="Times New Roman" w:hAnsi="Arial" w:cs="Arial"/>
                <w:color w:val="000000" w:themeColor="dark1"/>
                <w:kern w:val="24"/>
                <w:sz w:val="20"/>
                <w:szCs w:val="20"/>
              </w:rPr>
              <w:t xml:space="preserve"> D1</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Santa Cruz Biotechnology</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proofErr w:type="spellStart"/>
            <w:r w:rsidRPr="00EB329F">
              <w:rPr>
                <w:rFonts w:ascii="Arial" w:eastAsia="Times New Roman" w:hAnsi="Arial" w:cs="Arial"/>
                <w:color w:val="000000" w:themeColor="dark1"/>
                <w:kern w:val="24"/>
                <w:sz w:val="20"/>
                <w:szCs w:val="20"/>
              </w:rPr>
              <w:t>Cyclin</w:t>
            </w:r>
            <w:proofErr w:type="spellEnd"/>
            <w:r w:rsidRPr="00EB329F">
              <w:rPr>
                <w:rFonts w:ascii="Arial" w:eastAsia="Times New Roman" w:hAnsi="Arial" w:cs="Arial"/>
                <w:color w:val="000000" w:themeColor="dark1"/>
                <w:kern w:val="24"/>
                <w:sz w:val="20"/>
                <w:szCs w:val="20"/>
              </w:rPr>
              <w:t xml:space="preserve"> E1</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Cell Signaling</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proofErr w:type="spellStart"/>
            <w:r w:rsidRPr="00EB329F">
              <w:rPr>
                <w:rFonts w:ascii="Arial" w:eastAsia="Times New Roman" w:hAnsi="Arial" w:cs="Arial"/>
                <w:color w:val="000000" w:themeColor="dark1"/>
                <w:kern w:val="24"/>
                <w:sz w:val="20"/>
                <w:szCs w:val="20"/>
              </w:rPr>
              <w:t>Bax</w:t>
            </w:r>
            <w:proofErr w:type="spellEnd"/>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Cell Signaling</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Bcl-2</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Santa Cruz Biotechnology</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proofErr w:type="spellStart"/>
            <w:r w:rsidRPr="00EB329F">
              <w:rPr>
                <w:rFonts w:ascii="Arial" w:eastAsia="Times New Roman" w:hAnsi="Arial" w:cs="Arial"/>
                <w:color w:val="000000" w:themeColor="dark1"/>
                <w:kern w:val="24"/>
                <w:sz w:val="20"/>
                <w:szCs w:val="20"/>
              </w:rPr>
              <w:t>Bcl</w:t>
            </w:r>
            <w:proofErr w:type="spellEnd"/>
            <w:r w:rsidRPr="00EB329F">
              <w:rPr>
                <w:rFonts w:ascii="Arial" w:eastAsia="Times New Roman" w:hAnsi="Arial" w:cs="Arial"/>
                <w:color w:val="000000" w:themeColor="dark1"/>
                <w:kern w:val="24"/>
                <w:sz w:val="20"/>
                <w:szCs w:val="20"/>
              </w:rPr>
              <w:t>-xl</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Santa Cruz Biotechnology</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PARP1</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Santa Cruz Biotechnology</w:t>
            </w:r>
          </w:p>
        </w:tc>
      </w:tr>
      <w:tr w:rsidR="00EB329F" w:rsidRPr="00EB329F" w:rsidTr="00EB329F">
        <w:trPr>
          <w:trHeight w:val="16"/>
        </w:trPr>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FBXW7</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proofErr w:type="spellStart"/>
            <w:r w:rsidRPr="00EB329F">
              <w:rPr>
                <w:rFonts w:ascii="Arial" w:eastAsia="Times New Roman" w:hAnsi="Arial" w:cs="Arial"/>
                <w:color w:val="000000" w:themeColor="dark1"/>
                <w:kern w:val="24"/>
                <w:sz w:val="20"/>
                <w:szCs w:val="20"/>
              </w:rPr>
              <w:t>Abcam</w:t>
            </w:r>
            <w:proofErr w:type="spellEnd"/>
          </w:p>
        </w:tc>
      </w:tr>
      <w:tr w:rsidR="00EB329F" w:rsidRPr="00EB329F" w:rsidTr="00EB329F">
        <w:trPr>
          <w:trHeight w:val="43"/>
        </w:trPr>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Beta-actin</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329F" w:rsidRPr="00EB329F" w:rsidRDefault="00EB329F" w:rsidP="00EB329F">
            <w:pPr>
              <w:spacing w:after="0" w:line="240" w:lineRule="auto"/>
              <w:rPr>
                <w:rFonts w:ascii="Arial" w:eastAsia="Times New Roman" w:hAnsi="Arial" w:cs="Arial"/>
                <w:sz w:val="20"/>
                <w:szCs w:val="20"/>
              </w:rPr>
            </w:pPr>
            <w:r w:rsidRPr="00EB329F">
              <w:rPr>
                <w:rFonts w:ascii="Arial" w:eastAsia="Times New Roman" w:hAnsi="Arial" w:cs="Arial"/>
                <w:color w:val="000000" w:themeColor="dark1"/>
                <w:kern w:val="24"/>
                <w:sz w:val="20"/>
                <w:szCs w:val="20"/>
              </w:rPr>
              <w:t>Sigma</w:t>
            </w:r>
          </w:p>
        </w:tc>
      </w:tr>
    </w:tbl>
    <w:p w:rsidR="004B109A" w:rsidRDefault="004B109A" w:rsidP="0017758F">
      <w:pPr>
        <w:spacing w:line="480" w:lineRule="auto"/>
        <w:jc w:val="both"/>
        <w:rPr>
          <w:rFonts w:ascii="Times New Roman" w:hAnsi="Times New Roman" w:cs="Times New Roman"/>
          <w:b/>
          <w:smallCaps/>
          <w:color w:val="548DD4" w:themeColor="text2" w:themeTint="99"/>
          <w:sz w:val="28"/>
        </w:rPr>
      </w:pPr>
    </w:p>
    <w:p w:rsidR="004B109A" w:rsidRPr="002100D3" w:rsidRDefault="0017758F" w:rsidP="002100D3">
      <w:pPr>
        <w:spacing w:line="480" w:lineRule="auto"/>
        <w:jc w:val="both"/>
        <w:rPr>
          <w:rFonts w:ascii="Times New Roman" w:hAnsi="Times New Roman" w:cs="Times New Roman"/>
          <w:b/>
          <w:smallCaps/>
          <w:color w:val="548DD4" w:themeColor="text2" w:themeTint="99"/>
          <w:sz w:val="28"/>
        </w:rPr>
      </w:pPr>
      <w:r>
        <w:rPr>
          <w:rFonts w:ascii="Times New Roman" w:hAnsi="Times New Roman" w:cs="Times New Roman"/>
          <w:b/>
          <w:smallCaps/>
          <w:color w:val="548DD4" w:themeColor="text2" w:themeTint="99"/>
          <w:sz w:val="28"/>
        </w:rPr>
        <w:t>Supplementary Figure Legends:</w:t>
      </w:r>
    </w:p>
    <w:p w:rsidR="0017758F" w:rsidRDefault="0017758F" w:rsidP="0017758F">
      <w:pPr>
        <w:spacing w:line="480" w:lineRule="auto"/>
        <w:ind w:left="1800" w:hanging="1800"/>
        <w:jc w:val="both"/>
        <w:rPr>
          <w:rFonts w:ascii="Times New Roman" w:hAnsi="Times New Roman" w:cs="Times New Roman"/>
          <w:b/>
        </w:rPr>
      </w:pPr>
      <w:r>
        <w:rPr>
          <w:rFonts w:ascii="Times New Roman" w:hAnsi="Times New Roman" w:cs="Times New Roman"/>
          <w:b/>
        </w:rPr>
        <w:t xml:space="preserve">Suppl. Figure 1: </w:t>
      </w:r>
      <w:r>
        <w:rPr>
          <w:rFonts w:ascii="Times New Roman" w:hAnsi="Times New Roman" w:cs="Times New Roman"/>
          <w:b/>
        </w:rPr>
        <w:tab/>
        <w:t>Inhibitory concen</w:t>
      </w:r>
      <w:r w:rsidR="00EF4250">
        <w:rPr>
          <w:rFonts w:ascii="Times New Roman" w:hAnsi="Times New Roman" w:cs="Times New Roman"/>
          <w:b/>
        </w:rPr>
        <w:t xml:space="preserve">tration 50 of </w:t>
      </w:r>
      <w:proofErr w:type="spellStart"/>
      <w:r w:rsidR="00EF4250">
        <w:rPr>
          <w:rFonts w:ascii="Times New Roman" w:hAnsi="Times New Roman" w:cs="Times New Roman"/>
          <w:b/>
        </w:rPr>
        <w:t>curcumin</w:t>
      </w:r>
      <w:proofErr w:type="spellEnd"/>
      <w:r w:rsidR="00EF4250">
        <w:rPr>
          <w:rFonts w:ascii="Times New Roman" w:hAnsi="Times New Roman" w:cs="Times New Roman"/>
          <w:b/>
        </w:rPr>
        <w:t xml:space="preserve"> and AKBA </w:t>
      </w:r>
      <w:r w:rsidRPr="006173FF">
        <w:rPr>
          <w:rFonts w:ascii="Times New Roman" w:hAnsi="Times New Roman" w:cs="Times New Roman"/>
        </w:rPr>
        <w:t>(A)</w:t>
      </w:r>
      <w:r>
        <w:rPr>
          <w:rFonts w:ascii="Times New Roman" w:hAnsi="Times New Roman" w:cs="Times New Roman"/>
        </w:rPr>
        <w:t xml:space="preserve"> Four CRC cell lines (HCT116, RKO, SW480 and SW620) were treated with various concentrations of </w:t>
      </w:r>
      <w:proofErr w:type="spellStart"/>
      <w:r>
        <w:rPr>
          <w:rFonts w:ascii="Times New Roman" w:hAnsi="Times New Roman" w:cs="Times New Roman"/>
        </w:rPr>
        <w:t>curcumin</w:t>
      </w:r>
      <w:proofErr w:type="spellEnd"/>
      <w:r>
        <w:rPr>
          <w:rFonts w:ascii="Times New Roman" w:hAnsi="Times New Roman" w:cs="Times New Roman"/>
        </w:rPr>
        <w:t xml:space="preserve"> and AKBA, and cell viability was determined using the MTT assay. (B) Inhibitory concentration 50 (IC</w:t>
      </w:r>
      <w:r w:rsidRPr="001D1401">
        <w:rPr>
          <w:rFonts w:ascii="Times New Roman" w:hAnsi="Times New Roman" w:cs="Times New Roman"/>
          <w:vertAlign w:val="subscript"/>
        </w:rPr>
        <w:t>50</w:t>
      </w:r>
      <w:r>
        <w:rPr>
          <w:rFonts w:ascii="Times New Roman" w:hAnsi="Times New Roman" w:cs="Times New Roman"/>
        </w:rPr>
        <w:t xml:space="preserve">) of </w:t>
      </w:r>
      <w:proofErr w:type="spellStart"/>
      <w:r>
        <w:rPr>
          <w:rFonts w:ascii="Times New Roman" w:hAnsi="Times New Roman" w:cs="Times New Roman"/>
        </w:rPr>
        <w:t>curcumin</w:t>
      </w:r>
      <w:proofErr w:type="spellEnd"/>
      <w:r>
        <w:rPr>
          <w:rFonts w:ascii="Times New Roman" w:hAnsi="Times New Roman" w:cs="Times New Roman"/>
        </w:rPr>
        <w:t xml:space="preserve"> and AKBA were determined across four cell lines and the ratio between A</w:t>
      </w:r>
      <w:r w:rsidR="00EF4250">
        <w:rPr>
          <w:rFonts w:ascii="Times New Roman" w:hAnsi="Times New Roman" w:cs="Times New Roman"/>
        </w:rPr>
        <w:t>KB</w:t>
      </w:r>
      <w:r w:rsidR="00B25742">
        <w:rPr>
          <w:rFonts w:ascii="Times New Roman" w:hAnsi="Times New Roman" w:cs="Times New Roman"/>
        </w:rPr>
        <w:t xml:space="preserve">A and </w:t>
      </w:r>
      <w:proofErr w:type="spellStart"/>
      <w:r w:rsidR="00B25742">
        <w:rPr>
          <w:rFonts w:ascii="Times New Roman" w:hAnsi="Times New Roman" w:cs="Times New Roman"/>
        </w:rPr>
        <w:t>curcumin</w:t>
      </w:r>
      <w:proofErr w:type="spellEnd"/>
      <w:r w:rsidR="00B25742">
        <w:rPr>
          <w:rFonts w:ascii="Times New Roman" w:hAnsi="Times New Roman" w:cs="Times New Roman"/>
        </w:rPr>
        <w:t xml:space="preserve"> was calculated. </w:t>
      </w:r>
    </w:p>
    <w:p w:rsidR="006D5931" w:rsidRDefault="00585508" w:rsidP="006D5931">
      <w:pPr>
        <w:spacing w:line="480" w:lineRule="auto"/>
        <w:ind w:left="1800" w:hanging="1800"/>
        <w:jc w:val="both"/>
        <w:rPr>
          <w:rFonts w:ascii="Times New Roman" w:hAnsi="Times New Roman" w:cs="Times New Roman"/>
          <w:b/>
        </w:rPr>
      </w:pPr>
      <w:r>
        <w:rPr>
          <w:rFonts w:ascii="Times New Roman" w:hAnsi="Times New Roman" w:cs="Times New Roman"/>
          <w:b/>
        </w:rPr>
        <w:t>Sup</w:t>
      </w:r>
      <w:r w:rsidR="00B25742">
        <w:rPr>
          <w:rFonts w:ascii="Times New Roman" w:hAnsi="Times New Roman" w:cs="Times New Roman"/>
          <w:b/>
        </w:rPr>
        <w:t>pl. Figure 2:</w:t>
      </w:r>
      <w:r w:rsidR="00B25742">
        <w:rPr>
          <w:rFonts w:ascii="Times New Roman" w:hAnsi="Times New Roman" w:cs="Times New Roman"/>
          <w:b/>
        </w:rPr>
        <w:tab/>
      </w:r>
      <w:proofErr w:type="spellStart"/>
      <w:r w:rsidR="00B25742" w:rsidRPr="00ED42A6">
        <w:rPr>
          <w:rFonts w:ascii="Times New Roman" w:hAnsi="Times New Roman" w:cs="Times New Roman"/>
          <w:b/>
        </w:rPr>
        <w:t>Curcumin</w:t>
      </w:r>
      <w:proofErr w:type="spellEnd"/>
      <w:r w:rsidR="00B25742" w:rsidRPr="00ED42A6">
        <w:rPr>
          <w:rFonts w:ascii="Times New Roman" w:hAnsi="Times New Roman" w:cs="Times New Roman"/>
          <w:b/>
        </w:rPr>
        <w:t xml:space="preserve"> </w:t>
      </w:r>
      <w:r w:rsidR="00B25742">
        <w:rPr>
          <w:rFonts w:ascii="Times New Roman" w:hAnsi="Times New Roman" w:cs="Times New Roman"/>
          <w:b/>
        </w:rPr>
        <w:t>and AKBA exert cytotoxicity and suppress</w:t>
      </w:r>
      <w:r w:rsidR="00B25742" w:rsidRPr="00ED42A6">
        <w:rPr>
          <w:rFonts w:ascii="Times New Roman" w:hAnsi="Times New Roman" w:cs="Times New Roman"/>
          <w:b/>
        </w:rPr>
        <w:t xml:space="preserve"> colony for</w:t>
      </w:r>
      <w:r w:rsidR="00B25742">
        <w:rPr>
          <w:rFonts w:ascii="Times New Roman" w:hAnsi="Times New Roman" w:cs="Times New Roman"/>
          <w:b/>
        </w:rPr>
        <w:t>mation</w:t>
      </w:r>
      <w:r w:rsidR="00B25742" w:rsidRPr="00ED42A6">
        <w:rPr>
          <w:rFonts w:ascii="Times New Roman" w:hAnsi="Times New Roman" w:cs="Times New Roman"/>
          <w:b/>
        </w:rPr>
        <w:t xml:space="preserve"> </w:t>
      </w:r>
      <w:r w:rsidR="00B25742">
        <w:rPr>
          <w:rFonts w:ascii="Times New Roman" w:hAnsi="Times New Roman" w:cs="Times New Roman"/>
          <w:b/>
        </w:rPr>
        <w:t xml:space="preserve">on CRC cell lines </w:t>
      </w:r>
      <w:r w:rsidR="00B25742">
        <w:rPr>
          <w:rFonts w:ascii="Times New Roman" w:hAnsi="Times New Roman" w:cs="Times New Roman"/>
        </w:rPr>
        <w:t>(A)</w:t>
      </w:r>
      <w:r w:rsidR="00B25742" w:rsidRPr="00ED42A6">
        <w:rPr>
          <w:rFonts w:ascii="Times New Roman" w:hAnsi="Times New Roman" w:cs="Times New Roman"/>
        </w:rPr>
        <w:t xml:space="preserve"> </w:t>
      </w:r>
      <w:r w:rsidR="00B25742">
        <w:rPr>
          <w:rFonts w:ascii="Times New Roman" w:hAnsi="Times New Roman" w:cs="Times New Roman"/>
        </w:rPr>
        <w:t>Cytotoxicity</w:t>
      </w:r>
      <w:r w:rsidR="00B25742" w:rsidRPr="00ED42A6">
        <w:rPr>
          <w:rFonts w:ascii="Times New Roman" w:hAnsi="Times New Roman" w:cs="Times New Roman"/>
        </w:rPr>
        <w:t xml:space="preserve"> of</w:t>
      </w:r>
      <w:r w:rsidR="00B25742">
        <w:rPr>
          <w:rFonts w:ascii="Times New Roman" w:hAnsi="Times New Roman" w:cs="Times New Roman"/>
        </w:rPr>
        <w:t xml:space="preserve"> different doses of </w:t>
      </w:r>
      <w:proofErr w:type="spellStart"/>
      <w:r w:rsidR="00B25742">
        <w:rPr>
          <w:rFonts w:ascii="Times New Roman" w:hAnsi="Times New Roman" w:cs="Times New Roman"/>
        </w:rPr>
        <w:t>curcumin</w:t>
      </w:r>
      <w:proofErr w:type="spellEnd"/>
      <w:r w:rsidR="00B25742">
        <w:rPr>
          <w:rFonts w:ascii="Times New Roman" w:hAnsi="Times New Roman" w:cs="Times New Roman"/>
        </w:rPr>
        <w:t xml:space="preserve"> and/or AKBA on RKO, Caco2, and HT29 cell lines</w:t>
      </w:r>
      <w:r w:rsidR="00B25742" w:rsidRPr="00ED42A6">
        <w:rPr>
          <w:rFonts w:ascii="Times New Roman" w:hAnsi="Times New Roman" w:cs="Times New Roman"/>
        </w:rPr>
        <w:t xml:space="preserve">. Insert: Synergy between </w:t>
      </w:r>
      <w:proofErr w:type="spellStart"/>
      <w:r w:rsidR="00B25742" w:rsidRPr="00ED42A6">
        <w:rPr>
          <w:rFonts w:ascii="Times New Roman" w:hAnsi="Times New Roman" w:cs="Times New Roman"/>
        </w:rPr>
        <w:t>curcumin</w:t>
      </w:r>
      <w:proofErr w:type="spellEnd"/>
      <w:r w:rsidR="00B25742" w:rsidRPr="00ED42A6">
        <w:rPr>
          <w:rFonts w:ascii="Times New Roman" w:hAnsi="Times New Roman" w:cs="Times New Roman"/>
        </w:rPr>
        <w:t xml:space="preserve"> and AKBA was calculated by </w:t>
      </w:r>
      <w:r w:rsidR="00B25742">
        <w:rPr>
          <w:rFonts w:ascii="Times New Roman" w:hAnsi="Times New Roman" w:cs="Times New Roman"/>
        </w:rPr>
        <w:t>use of the C</w:t>
      </w:r>
      <w:r w:rsidR="00B25742" w:rsidRPr="00ED42A6">
        <w:rPr>
          <w:rFonts w:ascii="Times New Roman" w:hAnsi="Times New Roman" w:cs="Times New Roman"/>
        </w:rPr>
        <w:t xml:space="preserve">ombined </w:t>
      </w:r>
      <w:r w:rsidR="00B25742">
        <w:rPr>
          <w:rFonts w:ascii="Times New Roman" w:hAnsi="Times New Roman" w:cs="Times New Roman"/>
        </w:rPr>
        <w:t>I</w:t>
      </w:r>
      <w:r w:rsidR="00B25742" w:rsidRPr="00ED42A6">
        <w:rPr>
          <w:rFonts w:ascii="Times New Roman" w:hAnsi="Times New Roman" w:cs="Times New Roman"/>
        </w:rPr>
        <w:t>ndex (CI). (</w:t>
      </w:r>
      <w:r w:rsidR="00B25742">
        <w:rPr>
          <w:rFonts w:ascii="Times New Roman" w:hAnsi="Times New Roman" w:cs="Times New Roman"/>
        </w:rPr>
        <w:t>B</w:t>
      </w:r>
      <w:r w:rsidR="00B25742" w:rsidRPr="00ED42A6">
        <w:rPr>
          <w:rFonts w:ascii="Times New Roman" w:hAnsi="Times New Roman" w:cs="Times New Roman"/>
        </w:rPr>
        <w:t xml:space="preserve">) </w:t>
      </w:r>
      <w:r w:rsidR="00B25742">
        <w:rPr>
          <w:rFonts w:ascii="Times New Roman" w:hAnsi="Times New Roman" w:cs="Times New Roman"/>
        </w:rPr>
        <w:t xml:space="preserve">Colony formation assay of CRC cell lines treated with various concentrations of </w:t>
      </w:r>
      <w:proofErr w:type="spellStart"/>
      <w:r w:rsidR="00B25742">
        <w:rPr>
          <w:rFonts w:ascii="Times New Roman" w:hAnsi="Times New Roman" w:cs="Times New Roman"/>
        </w:rPr>
        <w:t>curcumin</w:t>
      </w:r>
      <w:proofErr w:type="spellEnd"/>
      <w:r w:rsidR="00B25742">
        <w:rPr>
          <w:rFonts w:ascii="Times New Roman" w:hAnsi="Times New Roman" w:cs="Times New Roman"/>
        </w:rPr>
        <w:t xml:space="preserve"> and/or AKBA</w:t>
      </w:r>
    </w:p>
    <w:p w:rsidR="006D5931" w:rsidRPr="006D5931" w:rsidRDefault="006D5931" w:rsidP="006D5931">
      <w:pPr>
        <w:spacing w:line="480" w:lineRule="auto"/>
        <w:ind w:left="1800" w:hanging="1800"/>
        <w:jc w:val="both"/>
        <w:rPr>
          <w:rFonts w:ascii="Times New Roman" w:hAnsi="Times New Roman" w:cs="Times New Roman"/>
        </w:rPr>
      </w:pPr>
      <w:r>
        <w:rPr>
          <w:rFonts w:ascii="Times New Roman" w:hAnsi="Times New Roman" w:cs="Times New Roman"/>
          <w:b/>
        </w:rPr>
        <w:lastRenderedPageBreak/>
        <w:t xml:space="preserve">Suppl. Figure 3: </w:t>
      </w:r>
      <w:r>
        <w:rPr>
          <w:rFonts w:ascii="Times New Roman" w:hAnsi="Times New Roman" w:cs="Times New Roman"/>
          <w:b/>
        </w:rPr>
        <w:tab/>
      </w:r>
      <w:proofErr w:type="spellStart"/>
      <w:r>
        <w:rPr>
          <w:rFonts w:ascii="Times New Roman" w:hAnsi="Times New Roman" w:cs="Times New Roman"/>
          <w:b/>
        </w:rPr>
        <w:t>Curcumin</w:t>
      </w:r>
      <w:proofErr w:type="spellEnd"/>
      <w:r>
        <w:rPr>
          <w:rFonts w:ascii="Times New Roman" w:hAnsi="Times New Roman" w:cs="Times New Roman"/>
          <w:b/>
        </w:rPr>
        <w:t xml:space="preserve"> and AKBA inhibit cellular proliferation in 3D cultures. </w:t>
      </w:r>
      <w:r>
        <w:rPr>
          <w:rFonts w:ascii="Times New Roman" w:hAnsi="Times New Roman" w:cs="Times New Roman"/>
        </w:rPr>
        <w:t xml:space="preserve">3D </w:t>
      </w:r>
      <w:r w:rsidR="00A920B5">
        <w:rPr>
          <w:rFonts w:ascii="Times New Roman" w:hAnsi="Times New Roman" w:cs="Times New Roman"/>
        </w:rPr>
        <w:t xml:space="preserve">cultures </w:t>
      </w:r>
      <w:r>
        <w:rPr>
          <w:rFonts w:ascii="Times New Roman" w:hAnsi="Times New Roman" w:cs="Times New Roman"/>
        </w:rPr>
        <w:t xml:space="preserve">were generated using HCT116 cells followed by </w:t>
      </w:r>
      <w:proofErr w:type="spellStart"/>
      <w:r>
        <w:rPr>
          <w:rFonts w:ascii="Times New Roman" w:hAnsi="Times New Roman" w:cs="Times New Roman"/>
        </w:rPr>
        <w:t>curcumin</w:t>
      </w:r>
      <w:proofErr w:type="spellEnd"/>
      <w:r>
        <w:rPr>
          <w:rFonts w:ascii="Times New Roman" w:hAnsi="Times New Roman" w:cs="Times New Roman"/>
        </w:rPr>
        <w:t xml:space="preserve"> (10µM) and/or AKBA (30µM) treatment. Diameter of 3D cultures was evaluated on days 0, 3, 7, 10.</w:t>
      </w:r>
    </w:p>
    <w:p w:rsidR="0017758F" w:rsidRDefault="0017758F" w:rsidP="0017758F">
      <w:pPr>
        <w:spacing w:line="480" w:lineRule="auto"/>
        <w:ind w:left="1800" w:hanging="1800"/>
        <w:jc w:val="both"/>
        <w:rPr>
          <w:rFonts w:ascii="Times New Roman" w:hAnsi="Times New Roman" w:cs="Times New Roman"/>
        </w:rPr>
      </w:pPr>
      <w:r>
        <w:rPr>
          <w:rFonts w:ascii="Times New Roman" w:hAnsi="Times New Roman" w:cs="Times New Roman"/>
          <w:b/>
        </w:rPr>
        <w:t xml:space="preserve">Suppl. Figure </w:t>
      </w:r>
      <w:r w:rsidR="006D5931">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b/>
        </w:rPr>
        <w:tab/>
        <w:t xml:space="preserve">The effects of </w:t>
      </w:r>
      <w:proofErr w:type="spellStart"/>
      <w:r>
        <w:rPr>
          <w:rFonts w:ascii="Times New Roman" w:hAnsi="Times New Roman" w:cs="Times New Roman"/>
          <w:b/>
        </w:rPr>
        <w:t>curcumin</w:t>
      </w:r>
      <w:proofErr w:type="spellEnd"/>
      <w:r>
        <w:rPr>
          <w:rFonts w:ascii="Times New Roman" w:hAnsi="Times New Roman" w:cs="Times New Roman"/>
          <w:b/>
        </w:rPr>
        <w:t xml:space="preserve"> and AKBA on</w:t>
      </w:r>
      <w:r w:rsidR="005F2C8D">
        <w:rPr>
          <w:rFonts w:ascii="Times New Roman" w:hAnsi="Times New Roman" w:cs="Times New Roman"/>
          <w:b/>
        </w:rPr>
        <w:t xml:space="preserve"> miR-34a, miR-27a,</w:t>
      </w:r>
      <w:r>
        <w:rPr>
          <w:rFonts w:ascii="Times New Roman" w:hAnsi="Times New Roman" w:cs="Times New Roman"/>
          <w:b/>
        </w:rPr>
        <w:t xml:space="preserve"> </w:t>
      </w:r>
      <w:proofErr w:type="gramStart"/>
      <w:r>
        <w:rPr>
          <w:rFonts w:ascii="Times New Roman" w:hAnsi="Times New Roman" w:cs="Times New Roman"/>
          <w:b/>
        </w:rPr>
        <w:t>miR</w:t>
      </w:r>
      <w:proofErr w:type="gramEnd"/>
      <w:r>
        <w:rPr>
          <w:rFonts w:ascii="Times New Roman" w:hAnsi="Times New Roman" w:cs="Times New Roman"/>
          <w:b/>
        </w:rPr>
        <w:t xml:space="preserve">-16 and miR-145 expression in CRC cell lines. </w:t>
      </w:r>
      <w:r w:rsidR="005F2C8D" w:rsidRPr="005F2C8D">
        <w:rPr>
          <w:rFonts w:ascii="Times New Roman" w:hAnsi="Times New Roman" w:cs="Times New Roman"/>
        </w:rPr>
        <w:t>(A) Relative expression of miR-34a and miR-27a in RKO, HT29 and Caco2 cell lines treated</w:t>
      </w:r>
      <w:r w:rsidR="005F2C8D">
        <w:rPr>
          <w:rFonts w:ascii="Times New Roman" w:hAnsi="Times New Roman" w:cs="Times New Roman"/>
        </w:rPr>
        <w:t xml:space="preserve"> with </w:t>
      </w:r>
      <w:proofErr w:type="spellStart"/>
      <w:r w:rsidR="005F2C8D">
        <w:rPr>
          <w:rFonts w:ascii="Times New Roman" w:hAnsi="Times New Roman" w:cs="Times New Roman"/>
        </w:rPr>
        <w:t>curcumin</w:t>
      </w:r>
      <w:proofErr w:type="spellEnd"/>
      <w:r w:rsidR="005F2C8D">
        <w:rPr>
          <w:rFonts w:ascii="Times New Roman" w:hAnsi="Times New Roman" w:cs="Times New Roman"/>
        </w:rPr>
        <w:t xml:space="preserve"> and/or </w:t>
      </w:r>
      <w:r w:rsidR="005F2C8D" w:rsidRPr="005F2C8D">
        <w:rPr>
          <w:rFonts w:ascii="Times New Roman" w:hAnsi="Times New Roman" w:cs="Times New Roman"/>
        </w:rPr>
        <w:t>AKBA (B)</w:t>
      </w:r>
      <w:r w:rsidR="005F2C8D">
        <w:rPr>
          <w:rFonts w:ascii="Times New Roman" w:hAnsi="Times New Roman" w:cs="Times New Roman"/>
        </w:rPr>
        <w:t xml:space="preserve"> </w:t>
      </w:r>
      <w:r w:rsidRPr="005F2C8D">
        <w:rPr>
          <w:rFonts w:ascii="Times New Roman" w:hAnsi="Times New Roman" w:cs="Times New Roman"/>
        </w:rPr>
        <w:t>Relative</w:t>
      </w:r>
      <w:r>
        <w:rPr>
          <w:rFonts w:ascii="Times New Roman" w:hAnsi="Times New Roman" w:cs="Times New Roman"/>
        </w:rPr>
        <w:t xml:space="preserve"> expression of miR-16 and miR-145 in HCT116, HCT116p53</w:t>
      </w:r>
      <w:r w:rsidRPr="000371B6">
        <w:rPr>
          <w:rFonts w:ascii="Times New Roman" w:hAnsi="Times New Roman" w:cs="Times New Roman"/>
          <w:vertAlign w:val="superscript"/>
        </w:rPr>
        <w:t>-/-</w:t>
      </w:r>
      <w:r>
        <w:rPr>
          <w:rFonts w:ascii="Times New Roman" w:hAnsi="Times New Roman" w:cs="Times New Roman"/>
        </w:rPr>
        <w:t xml:space="preserve"> and SW480 cell lines treated with </w:t>
      </w:r>
      <w:proofErr w:type="spellStart"/>
      <w:r>
        <w:rPr>
          <w:rFonts w:ascii="Times New Roman" w:hAnsi="Times New Roman" w:cs="Times New Roman"/>
        </w:rPr>
        <w:t>curcumin</w:t>
      </w:r>
      <w:proofErr w:type="spellEnd"/>
      <w:r>
        <w:rPr>
          <w:rFonts w:ascii="Times New Roman" w:hAnsi="Times New Roman" w:cs="Times New Roman"/>
        </w:rPr>
        <w:t xml:space="preserve"> and/or AKBA</w:t>
      </w:r>
      <w:r w:rsidR="005F2C8D">
        <w:rPr>
          <w:rFonts w:ascii="Times New Roman" w:hAnsi="Times New Roman" w:cs="Times New Roman"/>
        </w:rPr>
        <w:t>. All data</w:t>
      </w:r>
      <w:r>
        <w:rPr>
          <w:rFonts w:ascii="Times New Roman" w:hAnsi="Times New Roman" w:cs="Times New Roman"/>
        </w:rPr>
        <w:t xml:space="preserve"> normalized to RNU6B.</w:t>
      </w:r>
    </w:p>
    <w:p w:rsidR="0017758F" w:rsidRPr="00752EE0" w:rsidRDefault="006D5931" w:rsidP="0017758F">
      <w:pPr>
        <w:spacing w:line="480" w:lineRule="auto"/>
        <w:ind w:left="1800" w:hanging="1800"/>
        <w:jc w:val="both"/>
        <w:rPr>
          <w:rFonts w:ascii="Times New Roman" w:hAnsi="Times New Roman" w:cs="Times New Roman"/>
        </w:rPr>
      </w:pPr>
      <w:r>
        <w:rPr>
          <w:rFonts w:ascii="Times New Roman" w:hAnsi="Times New Roman" w:cs="Times New Roman"/>
          <w:b/>
        </w:rPr>
        <w:t>Suppl. Figure 5</w:t>
      </w:r>
      <w:r w:rsidR="0017758F">
        <w:rPr>
          <w:rFonts w:ascii="Times New Roman" w:hAnsi="Times New Roman" w:cs="Times New Roman"/>
          <w:b/>
        </w:rPr>
        <w:t xml:space="preserve">: </w:t>
      </w:r>
      <w:r w:rsidR="0017758F">
        <w:rPr>
          <w:rFonts w:ascii="Times New Roman" w:hAnsi="Times New Roman" w:cs="Times New Roman"/>
          <w:b/>
        </w:rPr>
        <w:tab/>
      </w:r>
      <w:proofErr w:type="spellStart"/>
      <w:r w:rsidR="0017758F" w:rsidRPr="00EB0A27">
        <w:rPr>
          <w:rFonts w:ascii="Times New Roman" w:hAnsi="Times New Roman" w:cs="Times New Roman"/>
          <w:b/>
        </w:rPr>
        <w:t>Curcumin</w:t>
      </w:r>
      <w:proofErr w:type="spellEnd"/>
      <w:r w:rsidR="0017758F" w:rsidRPr="00EB0A27">
        <w:rPr>
          <w:rFonts w:ascii="Times New Roman" w:hAnsi="Times New Roman" w:cs="Times New Roman"/>
          <w:b/>
        </w:rPr>
        <w:t xml:space="preserve"> and AKBA </w:t>
      </w:r>
      <w:r w:rsidR="0017758F">
        <w:rPr>
          <w:rFonts w:ascii="Times New Roman" w:hAnsi="Times New Roman" w:cs="Times New Roman"/>
          <w:b/>
        </w:rPr>
        <w:t>modulate genes involved in cell cycle regulation</w:t>
      </w:r>
      <w:r w:rsidR="0017758F">
        <w:rPr>
          <w:rFonts w:ascii="Times New Roman" w:hAnsi="Times New Roman" w:cs="Times New Roman"/>
        </w:rPr>
        <w:t xml:space="preserve"> Comparative gene-expression analysis of FBXW7, </w:t>
      </w:r>
      <w:proofErr w:type="spellStart"/>
      <w:r w:rsidR="0017758F">
        <w:rPr>
          <w:rFonts w:ascii="Times New Roman" w:hAnsi="Times New Roman" w:cs="Times New Roman"/>
        </w:rPr>
        <w:t>cMyc</w:t>
      </w:r>
      <w:proofErr w:type="spellEnd"/>
      <w:r w:rsidR="0017758F">
        <w:rPr>
          <w:rFonts w:ascii="Times New Roman" w:hAnsi="Times New Roman" w:cs="Times New Roman"/>
        </w:rPr>
        <w:t xml:space="preserve">, CDK4, CDK6, </w:t>
      </w:r>
      <w:proofErr w:type="spellStart"/>
      <w:r w:rsidR="0017758F">
        <w:rPr>
          <w:rFonts w:ascii="Times New Roman" w:hAnsi="Times New Roman" w:cs="Times New Roman"/>
        </w:rPr>
        <w:t>Cyclin</w:t>
      </w:r>
      <w:proofErr w:type="spellEnd"/>
      <w:r w:rsidR="0017758F">
        <w:rPr>
          <w:rFonts w:ascii="Times New Roman" w:hAnsi="Times New Roman" w:cs="Times New Roman"/>
        </w:rPr>
        <w:t xml:space="preserve"> E1 and </w:t>
      </w:r>
      <w:proofErr w:type="spellStart"/>
      <w:r w:rsidR="0017758F">
        <w:rPr>
          <w:rFonts w:ascii="Times New Roman" w:hAnsi="Times New Roman" w:cs="Times New Roman"/>
        </w:rPr>
        <w:t>Cyclin</w:t>
      </w:r>
      <w:proofErr w:type="spellEnd"/>
      <w:r w:rsidR="0017758F">
        <w:rPr>
          <w:rFonts w:ascii="Times New Roman" w:hAnsi="Times New Roman" w:cs="Times New Roman"/>
        </w:rPr>
        <w:t xml:space="preserve"> D1 assessed by </w:t>
      </w:r>
      <w:proofErr w:type="spellStart"/>
      <w:r w:rsidR="0017758F">
        <w:rPr>
          <w:rFonts w:ascii="Times New Roman" w:hAnsi="Times New Roman" w:cs="Times New Roman"/>
        </w:rPr>
        <w:t>qRT</w:t>
      </w:r>
      <w:proofErr w:type="spellEnd"/>
      <w:r w:rsidR="0017758F">
        <w:rPr>
          <w:rFonts w:ascii="Times New Roman" w:hAnsi="Times New Roman" w:cs="Times New Roman"/>
        </w:rPr>
        <w:t xml:space="preserve">-PCR. All expression was normalized to GAPDH. </w:t>
      </w:r>
    </w:p>
    <w:p w:rsidR="0017758F" w:rsidRPr="00402918" w:rsidRDefault="0017758F" w:rsidP="0017758F">
      <w:pPr>
        <w:spacing w:line="480" w:lineRule="auto"/>
        <w:ind w:left="1800" w:hanging="1800"/>
        <w:jc w:val="both"/>
        <w:rPr>
          <w:rFonts w:ascii="Times New Roman" w:hAnsi="Times New Roman" w:cs="Times New Roman"/>
        </w:rPr>
      </w:pPr>
      <w:r>
        <w:rPr>
          <w:rFonts w:ascii="Times New Roman" w:hAnsi="Times New Roman" w:cs="Times New Roman"/>
          <w:b/>
        </w:rPr>
        <w:t xml:space="preserve">Suppl. Figure </w:t>
      </w:r>
      <w:r w:rsidR="00B25742">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b/>
        </w:rPr>
        <w:tab/>
        <w:t xml:space="preserve">The effects of miR-34a over-expression on cell function colorectal cancer cells </w:t>
      </w:r>
      <w:r w:rsidRPr="005840D9">
        <w:rPr>
          <w:rFonts w:ascii="Times New Roman" w:hAnsi="Times New Roman" w:cs="Times New Roman"/>
        </w:rPr>
        <w:t xml:space="preserve">(A) </w:t>
      </w:r>
      <w:proofErr w:type="spellStart"/>
      <w:r>
        <w:rPr>
          <w:rFonts w:ascii="Times New Roman" w:hAnsi="Times New Roman" w:cs="Times New Roman"/>
        </w:rPr>
        <w:t>qPCR</w:t>
      </w:r>
      <w:proofErr w:type="spellEnd"/>
      <w:r>
        <w:rPr>
          <w:rFonts w:ascii="Times New Roman" w:hAnsi="Times New Roman" w:cs="Times New Roman"/>
        </w:rPr>
        <w:t xml:space="preserve"> analysis of miR-34a expression after pre-miR-34a transfection in HCT116, HCT116p53</w:t>
      </w:r>
      <w:r w:rsidRPr="005840D9">
        <w:rPr>
          <w:rFonts w:ascii="Times New Roman" w:hAnsi="Times New Roman" w:cs="Times New Roman"/>
          <w:vertAlign w:val="superscript"/>
        </w:rPr>
        <w:t>-/-</w:t>
      </w:r>
      <w:r>
        <w:rPr>
          <w:rFonts w:ascii="Times New Roman" w:hAnsi="Times New Roman" w:cs="Times New Roman"/>
        </w:rPr>
        <w:t>, and SW480 cell lines. (B) The effects of miR-34a over-expression on cell apoptosis (B), the cell cycle (C), cell colony formation (D), and cell proliferation (E).</w:t>
      </w:r>
    </w:p>
    <w:p w:rsidR="00BE2B1D" w:rsidRPr="00C60EA5" w:rsidRDefault="0017758F" w:rsidP="00C60EA5">
      <w:pPr>
        <w:spacing w:line="480" w:lineRule="auto"/>
        <w:ind w:left="1800" w:hanging="1800"/>
        <w:jc w:val="both"/>
        <w:rPr>
          <w:rFonts w:ascii="Times New Roman" w:hAnsi="Times New Roman" w:cs="Times New Roman"/>
        </w:rPr>
      </w:pPr>
      <w:r>
        <w:rPr>
          <w:rFonts w:ascii="Times New Roman" w:hAnsi="Times New Roman" w:cs="Times New Roman"/>
          <w:b/>
        </w:rPr>
        <w:t xml:space="preserve">Suppl. Figure </w:t>
      </w:r>
      <w:r w:rsidR="00B25742">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b/>
        </w:rPr>
        <w:tab/>
        <w:t>The effects of miR-27a knockdown on cell function in colorectal cancer cells</w:t>
      </w:r>
      <w:r w:rsidRPr="00A5541B">
        <w:rPr>
          <w:rFonts w:ascii="Times New Roman" w:hAnsi="Times New Roman" w:cs="Times New Roman"/>
        </w:rPr>
        <w:t xml:space="preserve"> (A) </w:t>
      </w:r>
      <w:proofErr w:type="spellStart"/>
      <w:r>
        <w:rPr>
          <w:rFonts w:ascii="Times New Roman" w:hAnsi="Times New Roman" w:cs="Times New Roman"/>
        </w:rPr>
        <w:t>qPCR</w:t>
      </w:r>
      <w:proofErr w:type="spellEnd"/>
      <w:r>
        <w:rPr>
          <w:rFonts w:ascii="Times New Roman" w:hAnsi="Times New Roman" w:cs="Times New Roman"/>
        </w:rPr>
        <w:t xml:space="preserve"> analysis of </w:t>
      </w:r>
      <w:r w:rsidRPr="00A5541B">
        <w:rPr>
          <w:rFonts w:ascii="Times New Roman" w:hAnsi="Times New Roman" w:cs="Times New Roman"/>
        </w:rPr>
        <w:t>miR</w:t>
      </w:r>
      <w:r>
        <w:rPr>
          <w:rFonts w:ascii="Times New Roman" w:hAnsi="Times New Roman" w:cs="Times New Roman"/>
        </w:rPr>
        <w:t>-27a expression after anti-miR-27a transfection in HCT116, HCT116p53</w:t>
      </w:r>
      <w:r w:rsidRPr="005840D9">
        <w:rPr>
          <w:rFonts w:ascii="Times New Roman" w:hAnsi="Times New Roman" w:cs="Times New Roman"/>
          <w:vertAlign w:val="superscript"/>
        </w:rPr>
        <w:t>-/-</w:t>
      </w:r>
      <w:r>
        <w:rPr>
          <w:rFonts w:ascii="Times New Roman" w:hAnsi="Times New Roman" w:cs="Times New Roman"/>
        </w:rPr>
        <w:t xml:space="preserve"> and SW480 cell lines. </w:t>
      </w:r>
      <w:proofErr w:type="gramStart"/>
      <w:r>
        <w:rPr>
          <w:rFonts w:ascii="Times New Roman" w:hAnsi="Times New Roman" w:cs="Times New Roman"/>
        </w:rPr>
        <w:t>The effects of miR-27a knockdown on cell apoptosis (B), the cell cycle (C), cell colony formation (D), and cell proliferation (E).</w:t>
      </w:r>
      <w:proofErr w:type="gramEnd"/>
    </w:p>
    <w:p w:rsidR="00BE2B1D" w:rsidRDefault="00BE2B1D" w:rsidP="0017758F">
      <w:pPr>
        <w:spacing w:line="480" w:lineRule="auto"/>
        <w:ind w:left="1800" w:hanging="1800"/>
        <w:rPr>
          <w:rFonts w:ascii="Times New Roman" w:hAnsi="Times New Roman" w:cs="Times New Roman"/>
          <w:b/>
        </w:rPr>
      </w:pPr>
      <w:r>
        <w:rPr>
          <w:rFonts w:ascii="Times New Roman" w:hAnsi="Times New Roman" w:cs="Times New Roman"/>
          <w:b/>
        </w:rPr>
        <w:t xml:space="preserve">Suppl. Figure </w:t>
      </w:r>
      <w:r w:rsidR="00B25742">
        <w:rPr>
          <w:rFonts w:ascii="Times New Roman" w:hAnsi="Times New Roman" w:cs="Times New Roman"/>
          <w:b/>
        </w:rPr>
        <w:t>8</w:t>
      </w:r>
      <w:r>
        <w:rPr>
          <w:rFonts w:ascii="Times New Roman" w:hAnsi="Times New Roman" w:cs="Times New Roman"/>
          <w:b/>
        </w:rPr>
        <w:t>:</w:t>
      </w:r>
      <w:r w:rsidRPr="00BE2B1D">
        <w:rPr>
          <w:rFonts w:ascii="Times New Roman" w:hAnsi="Times New Roman" w:cs="Times New Roman"/>
        </w:rPr>
        <w:t xml:space="preserve"> </w:t>
      </w:r>
      <w:r>
        <w:rPr>
          <w:rFonts w:ascii="Times New Roman" w:hAnsi="Times New Roman" w:cs="Times New Roman"/>
        </w:rPr>
        <w:tab/>
        <w:t xml:space="preserve">Comparative gene-expression analysis of FBXW7, </w:t>
      </w:r>
      <w:proofErr w:type="spellStart"/>
      <w:r>
        <w:rPr>
          <w:rFonts w:ascii="Times New Roman" w:hAnsi="Times New Roman" w:cs="Times New Roman"/>
        </w:rPr>
        <w:t>cMyc</w:t>
      </w:r>
      <w:proofErr w:type="spellEnd"/>
      <w:r>
        <w:rPr>
          <w:rFonts w:ascii="Times New Roman" w:hAnsi="Times New Roman" w:cs="Times New Roman"/>
        </w:rPr>
        <w:t xml:space="preserve">, CDK4, CDK6, </w:t>
      </w:r>
      <w:proofErr w:type="spellStart"/>
      <w:r>
        <w:rPr>
          <w:rFonts w:ascii="Times New Roman" w:hAnsi="Times New Roman" w:cs="Times New Roman"/>
        </w:rPr>
        <w:t>Cyclin</w:t>
      </w:r>
      <w:proofErr w:type="spellEnd"/>
      <w:r>
        <w:rPr>
          <w:rFonts w:ascii="Times New Roman" w:hAnsi="Times New Roman" w:cs="Times New Roman"/>
        </w:rPr>
        <w:t xml:space="preserve"> E1 and </w:t>
      </w:r>
      <w:proofErr w:type="spellStart"/>
      <w:r>
        <w:rPr>
          <w:rFonts w:ascii="Times New Roman" w:hAnsi="Times New Roman" w:cs="Times New Roman"/>
        </w:rPr>
        <w:t>Cyclin</w:t>
      </w:r>
      <w:proofErr w:type="spellEnd"/>
      <w:r>
        <w:rPr>
          <w:rFonts w:ascii="Times New Roman" w:hAnsi="Times New Roman" w:cs="Times New Roman"/>
        </w:rPr>
        <w:t xml:space="preserve"> D1 </w:t>
      </w:r>
      <w:r w:rsidR="00EF4250">
        <w:rPr>
          <w:rFonts w:ascii="Times New Roman" w:hAnsi="Times New Roman" w:cs="Times New Roman"/>
        </w:rPr>
        <w:t xml:space="preserve">from </w:t>
      </w:r>
      <w:proofErr w:type="spellStart"/>
      <w:r w:rsidR="00EF4250">
        <w:rPr>
          <w:rFonts w:ascii="Times New Roman" w:hAnsi="Times New Roman" w:cs="Times New Roman"/>
        </w:rPr>
        <w:t>xenograft</w:t>
      </w:r>
      <w:proofErr w:type="spellEnd"/>
      <w:r w:rsidR="00EF4250">
        <w:rPr>
          <w:rFonts w:ascii="Times New Roman" w:hAnsi="Times New Roman" w:cs="Times New Roman"/>
        </w:rPr>
        <w:t xml:space="preserve"> tumors </w:t>
      </w:r>
      <w:r>
        <w:rPr>
          <w:rFonts w:ascii="Times New Roman" w:hAnsi="Times New Roman" w:cs="Times New Roman"/>
        </w:rPr>
        <w:t xml:space="preserve">assessed by </w:t>
      </w:r>
      <w:proofErr w:type="spellStart"/>
      <w:r>
        <w:rPr>
          <w:rFonts w:ascii="Times New Roman" w:hAnsi="Times New Roman" w:cs="Times New Roman"/>
        </w:rPr>
        <w:t>qRT</w:t>
      </w:r>
      <w:proofErr w:type="spellEnd"/>
      <w:r>
        <w:rPr>
          <w:rFonts w:ascii="Times New Roman" w:hAnsi="Times New Roman" w:cs="Times New Roman"/>
        </w:rPr>
        <w:t>-PCR. All expression was normalized to GAPDH.</w:t>
      </w:r>
    </w:p>
    <w:p w:rsidR="0017758F" w:rsidRDefault="00BE2B1D" w:rsidP="0017758F">
      <w:pPr>
        <w:spacing w:line="480" w:lineRule="auto"/>
        <w:ind w:left="1800" w:hanging="1800"/>
        <w:rPr>
          <w:rFonts w:ascii="Times New Roman" w:hAnsi="Times New Roman" w:cs="Times New Roman"/>
          <w:b/>
        </w:rPr>
      </w:pPr>
      <w:r>
        <w:rPr>
          <w:rFonts w:ascii="Times New Roman" w:hAnsi="Times New Roman" w:cs="Times New Roman"/>
          <w:b/>
        </w:rPr>
        <w:lastRenderedPageBreak/>
        <w:t xml:space="preserve">Suppl. </w:t>
      </w:r>
      <w:r w:rsidR="004B109A">
        <w:rPr>
          <w:rFonts w:ascii="Times New Roman" w:hAnsi="Times New Roman" w:cs="Times New Roman"/>
          <w:b/>
        </w:rPr>
        <w:t>Table</w:t>
      </w:r>
      <w:r>
        <w:rPr>
          <w:rFonts w:ascii="Times New Roman" w:hAnsi="Times New Roman" w:cs="Times New Roman"/>
          <w:b/>
        </w:rPr>
        <w:t xml:space="preserve"> </w:t>
      </w:r>
      <w:r w:rsidR="004B109A">
        <w:rPr>
          <w:rFonts w:ascii="Times New Roman" w:hAnsi="Times New Roman" w:cs="Times New Roman"/>
          <w:b/>
        </w:rPr>
        <w:t>1</w:t>
      </w:r>
      <w:r w:rsidR="0017758F">
        <w:rPr>
          <w:rFonts w:ascii="Times New Roman" w:hAnsi="Times New Roman" w:cs="Times New Roman"/>
          <w:b/>
        </w:rPr>
        <w:t xml:space="preserve">: </w:t>
      </w:r>
      <w:r w:rsidR="0017758F">
        <w:rPr>
          <w:rFonts w:ascii="Times New Roman" w:hAnsi="Times New Roman" w:cs="Times New Roman"/>
          <w:b/>
        </w:rPr>
        <w:tab/>
      </w:r>
      <w:r w:rsidR="00845A58">
        <w:rPr>
          <w:rFonts w:ascii="Times New Roman" w:hAnsi="Times New Roman" w:cs="Times New Roman"/>
        </w:rPr>
        <w:t>List of various</w:t>
      </w:r>
      <w:r w:rsidR="0017758F" w:rsidRPr="00502E04">
        <w:rPr>
          <w:rFonts w:ascii="Times New Roman" w:hAnsi="Times New Roman" w:cs="Times New Roman"/>
        </w:rPr>
        <w:t xml:space="preserve"> primers used for various assays in this study</w:t>
      </w:r>
    </w:p>
    <w:p w:rsidR="00845A58" w:rsidRDefault="00845A58" w:rsidP="004B109A">
      <w:pPr>
        <w:ind w:left="2340" w:hanging="2340"/>
        <w:rPr>
          <w:rFonts w:ascii="Times New Roman" w:hAnsi="Times New Roman" w:cs="Times New Roman"/>
          <w:b/>
          <w:sz w:val="24"/>
          <w:szCs w:val="24"/>
        </w:rPr>
      </w:pPr>
      <w:r>
        <w:rPr>
          <w:rFonts w:ascii="Times New Roman" w:hAnsi="Times New Roman" w:cs="Times New Roman"/>
          <w:b/>
        </w:rPr>
        <w:t xml:space="preserve">Suppl. Table 2:      </w:t>
      </w:r>
      <w:r w:rsidRPr="00502E04">
        <w:rPr>
          <w:rFonts w:ascii="Times New Roman" w:hAnsi="Times New Roman" w:cs="Times New Roman"/>
        </w:rPr>
        <w:t>List of</w:t>
      </w:r>
      <w:r>
        <w:rPr>
          <w:rFonts w:ascii="Times New Roman" w:hAnsi="Times New Roman" w:cs="Times New Roman"/>
        </w:rPr>
        <w:t xml:space="preserve"> various antibodies </w:t>
      </w:r>
      <w:r w:rsidRPr="00502E04">
        <w:rPr>
          <w:rFonts w:ascii="Times New Roman" w:hAnsi="Times New Roman" w:cs="Times New Roman"/>
        </w:rPr>
        <w:t>used for various assays in this study</w:t>
      </w:r>
    </w:p>
    <w:p w:rsidR="00EF4250" w:rsidRDefault="00EF4250"/>
    <w:sectPr w:rsidR="00EF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8F"/>
    <w:rsid w:val="0017758F"/>
    <w:rsid w:val="002100D3"/>
    <w:rsid w:val="004B109A"/>
    <w:rsid w:val="00501120"/>
    <w:rsid w:val="00585508"/>
    <w:rsid w:val="005F2C8D"/>
    <w:rsid w:val="00616062"/>
    <w:rsid w:val="006D5931"/>
    <w:rsid w:val="006F342A"/>
    <w:rsid w:val="00845A58"/>
    <w:rsid w:val="00904993"/>
    <w:rsid w:val="00A920B5"/>
    <w:rsid w:val="00B25742"/>
    <w:rsid w:val="00B75607"/>
    <w:rsid w:val="00BE2B1D"/>
    <w:rsid w:val="00C36102"/>
    <w:rsid w:val="00C60EA5"/>
    <w:rsid w:val="00D3119A"/>
    <w:rsid w:val="00E91118"/>
    <w:rsid w:val="00EB329F"/>
    <w:rsid w:val="00E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8F"/>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93"/>
    <w:rPr>
      <w:rFonts w:ascii="Tahoma" w:eastAsiaTheme="minorEastAsia" w:hAnsi="Tahoma" w:cs="Tahoma"/>
      <w:sz w:val="16"/>
      <w:szCs w:val="16"/>
    </w:rPr>
  </w:style>
  <w:style w:type="paragraph" w:styleId="NormalWeb">
    <w:name w:val="Normal (Web)"/>
    <w:basedOn w:val="Normal"/>
    <w:uiPriority w:val="99"/>
    <w:unhideWhenUsed/>
    <w:rsid w:val="004B10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8F"/>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93"/>
    <w:rPr>
      <w:rFonts w:ascii="Tahoma" w:eastAsiaTheme="minorEastAsia" w:hAnsi="Tahoma" w:cs="Tahoma"/>
      <w:sz w:val="16"/>
      <w:szCs w:val="16"/>
    </w:rPr>
  </w:style>
  <w:style w:type="paragraph" w:styleId="NormalWeb">
    <w:name w:val="Normal (Web)"/>
    <w:basedOn w:val="Normal"/>
    <w:uiPriority w:val="99"/>
    <w:unhideWhenUsed/>
    <w:rsid w:val="004B10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440">
      <w:bodyDiv w:val="1"/>
      <w:marLeft w:val="0"/>
      <w:marRight w:val="0"/>
      <w:marTop w:val="0"/>
      <w:marBottom w:val="0"/>
      <w:divBdr>
        <w:top w:val="none" w:sz="0" w:space="0" w:color="auto"/>
        <w:left w:val="none" w:sz="0" w:space="0" w:color="auto"/>
        <w:bottom w:val="none" w:sz="0" w:space="0" w:color="auto"/>
        <w:right w:val="none" w:sz="0" w:space="0" w:color="auto"/>
      </w:divBdr>
    </w:div>
    <w:div w:id="648749947">
      <w:bodyDiv w:val="1"/>
      <w:marLeft w:val="0"/>
      <w:marRight w:val="0"/>
      <w:marTop w:val="0"/>
      <w:marBottom w:val="0"/>
      <w:divBdr>
        <w:top w:val="none" w:sz="0" w:space="0" w:color="auto"/>
        <w:left w:val="none" w:sz="0" w:space="0" w:color="auto"/>
        <w:bottom w:val="none" w:sz="0" w:space="0" w:color="auto"/>
        <w:right w:val="none" w:sz="0" w:space="0" w:color="auto"/>
      </w:divBdr>
    </w:div>
    <w:div w:id="852917800">
      <w:bodyDiv w:val="1"/>
      <w:marLeft w:val="0"/>
      <w:marRight w:val="0"/>
      <w:marTop w:val="0"/>
      <w:marBottom w:val="0"/>
      <w:divBdr>
        <w:top w:val="none" w:sz="0" w:space="0" w:color="auto"/>
        <w:left w:val="none" w:sz="0" w:space="0" w:color="auto"/>
        <w:bottom w:val="none" w:sz="0" w:space="0" w:color="auto"/>
        <w:right w:val="none" w:sz="0" w:space="0" w:color="auto"/>
      </w:divBdr>
    </w:div>
    <w:div w:id="881215364">
      <w:bodyDiv w:val="1"/>
      <w:marLeft w:val="0"/>
      <w:marRight w:val="0"/>
      <w:marTop w:val="0"/>
      <w:marBottom w:val="0"/>
      <w:divBdr>
        <w:top w:val="none" w:sz="0" w:space="0" w:color="auto"/>
        <w:left w:val="none" w:sz="0" w:space="0" w:color="auto"/>
        <w:bottom w:val="none" w:sz="0" w:space="0" w:color="auto"/>
        <w:right w:val="none" w:sz="0" w:space="0" w:color="auto"/>
      </w:divBdr>
    </w:div>
    <w:div w:id="13099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BHCS</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Shusuke Toden</dc:creator>
  <cp:lastModifiedBy>Shusuke Toden</cp:lastModifiedBy>
  <cp:revision>4</cp:revision>
  <cp:lastPrinted>2014-12-28T22:50:00Z</cp:lastPrinted>
  <dcterms:created xsi:type="dcterms:W3CDTF">2015-02-05T03:34:00Z</dcterms:created>
  <dcterms:modified xsi:type="dcterms:W3CDTF">2015-02-05T19:37:00Z</dcterms:modified>
</cp:coreProperties>
</file>