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420" w:rsidRPr="00164A63" w:rsidRDefault="00D90762" w:rsidP="00203DD0">
      <w:pPr>
        <w:bidi w:val="0"/>
        <w:rPr>
          <w:rFonts w:asciiTheme="minorBidi" w:hAnsiTheme="minorBidi"/>
          <w:sz w:val="20"/>
          <w:szCs w:val="20"/>
        </w:rPr>
      </w:pPr>
      <w:r w:rsidRPr="00164A63">
        <w:rPr>
          <w:rFonts w:ascii="Arial" w:eastAsia="Calibri" w:hAnsi="Arial" w:cs="Arial"/>
          <w:sz w:val="20"/>
          <w:szCs w:val="20"/>
        </w:rPr>
        <w:t>Supplementary Table</w:t>
      </w:r>
      <w:r w:rsidRPr="00164A63">
        <w:rPr>
          <w:rFonts w:ascii="Arial" w:eastAsia="Calibri" w:hAnsi="Arial" w:cs="Arial" w:hint="cs"/>
          <w:sz w:val="20"/>
          <w:szCs w:val="20"/>
          <w:rtl/>
        </w:rPr>
        <w:t xml:space="preserve"> </w:t>
      </w:r>
      <w:r w:rsidRPr="00164A63">
        <w:rPr>
          <w:rFonts w:ascii="Arial" w:eastAsia="Calibri" w:hAnsi="Arial" w:cs="Arial"/>
          <w:sz w:val="20"/>
          <w:szCs w:val="20"/>
        </w:rPr>
        <w:t>3: Yearly BRCA carrier follow up costs</w:t>
      </w:r>
      <w:r w:rsidR="00EC0420" w:rsidRPr="00164A63">
        <w:rPr>
          <w:rFonts w:ascii="Arial" w:eastAsia="Calibri" w:hAnsi="Arial" w:cs="Arial"/>
          <w:sz w:val="20"/>
          <w:szCs w:val="20"/>
        </w:rPr>
        <w:t xml:space="preserve"> (</w:t>
      </w:r>
      <w:r w:rsidR="00EC0420" w:rsidRPr="00164A63">
        <w:rPr>
          <w:rFonts w:asciiTheme="minorBidi" w:hAnsiTheme="minorBidi"/>
          <w:sz w:val="20"/>
          <w:szCs w:val="20"/>
        </w:rPr>
        <w:t xml:space="preserve">All costs received from </w:t>
      </w:r>
      <w:r w:rsidR="00152721" w:rsidRPr="00164A63">
        <w:rPr>
          <w:rFonts w:asciiTheme="minorBidi" w:hAnsiTheme="minorBidi"/>
          <w:sz w:val="20"/>
          <w:szCs w:val="20"/>
        </w:rPr>
        <w:t>IMH*</w:t>
      </w:r>
      <w:r w:rsidR="00EC0420" w:rsidRPr="00164A63">
        <w:rPr>
          <w:rFonts w:asciiTheme="minorBidi" w:hAnsiTheme="minorBidi"/>
          <w:sz w:val="20"/>
          <w:szCs w:val="20"/>
        </w:rPr>
        <w:t xml:space="preserve"> pricing list</w:t>
      </w:r>
      <w:r w:rsidR="00203DD0" w:rsidRPr="00164A63">
        <w:rPr>
          <w:rFonts w:ascii="Arial" w:eastAsia="Calibri" w:hAnsi="Arial" w:cs="Arial"/>
          <w:sz w:val="20"/>
          <w:szCs w:val="20"/>
        </w:rPr>
        <w:t xml:space="preserve"> </w:t>
      </w:r>
      <w:bookmarkStart w:id="0" w:name="_GoBack"/>
      <w:r w:rsidR="00203DD0" w:rsidRPr="00164A63">
        <w:rPr>
          <w:rFonts w:ascii="Arial" w:eastAsia="Calibri" w:hAnsi="Arial" w:cs="Arial"/>
          <w:sz w:val="20"/>
          <w:szCs w:val="20"/>
        </w:rPr>
        <w:fldChar w:fldCharType="begin" w:fldLock="1"/>
      </w:r>
      <w:r w:rsidR="00203DD0" w:rsidRPr="00164A63">
        <w:rPr>
          <w:rFonts w:ascii="Arial" w:eastAsia="Calibri" w:hAnsi="Arial" w:cs="Arial"/>
          <w:sz w:val="20"/>
          <w:szCs w:val="20"/>
        </w:rPr>
        <w:instrText>ADDIN CSL_CITATION {"citationItems":[{"id":"ITEM-1","itemData":{"URL":"https://www.health.gov.il/Subjects/Finance/Taarifon/Pages/PriceList.aspx","accessed":{"date-parts":[["2020","10","15"]]},"id":"ITEM-1","issued":{"date-parts":[["2020"]]},"title":"Ministry of Health pricing list, 2020","type":"webpage"},"uris":["http://www.mendeley.com/documents/?uuid=e081b21a-28b6-3626-b2d2-becdb29d04dd"]}],"mendeley":{"formattedCitation":"(1)","plainTextFormattedCitation":"(1)"},"properties":{"noteIndex":0},"schema":"https://github.com/citation-style-language/schema/raw/master/csl-citation.json"}</w:instrText>
      </w:r>
      <w:r w:rsidR="00203DD0" w:rsidRPr="00164A63">
        <w:rPr>
          <w:rFonts w:ascii="Arial" w:eastAsia="Calibri" w:hAnsi="Arial" w:cs="Arial"/>
          <w:sz w:val="20"/>
          <w:szCs w:val="20"/>
        </w:rPr>
        <w:fldChar w:fldCharType="separate"/>
      </w:r>
      <w:r w:rsidR="00203DD0" w:rsidRPr="00164A63">
        <w:rPr>
          <w:rFonts w:ascii="Arial" w:eastAsia="Calibri" w:hAnsi="Arial" w:cs="Arial"/>
          <w:noProof/>
          <w:sz w:val="20"/>
          <w:szCs w:val="20"/>
        </w:rPr>
        <w:t>(1)</w:t>
      </w:r>
      <w:r w:rsidR="00203DD0" w:rsidRPr="00164A63">
        <w:rPr>
          <w:rFonts w:ascii="Arial" w:eastAsia="Calibri" w:hAnsi="Arial" w:cs="Arial"/>
          <w:sz w:val="20"/>
          <w:szCs w:val="20"/>
        </w:rPr>
        <w:fldChar w:fldCharType="end"/>
      </w:r>
      <w:r w:rsidR="00203DD0" w:rsidRPr="00164A63">
        <w:rPr>
          <w:rFonts w:asciiTheme="minorBidi" w:hAnsiTheme="minorBidi"/>
          <w:sz w:val="20"/>
          <w:szCs w:val="20"/>
        </w:rPr>
        <w:t xml:space="preserve"> </w:t>
      </w:r>
      <w:r w:rsidR="00EC0420" w:rsidRPr="00164A63">
        <w:rPr>
          <w:rFonts w:asciiTheme="minorBidi" w:hAnsiTheme="minorBidi"/>
          <w:sz w:val="20"/>
          <w:szCs w:val="20"/>
        </w:rPr>
        <w:t>according to NCCN surveillance guidelines</w:t>
      </w:r>
      <w:r w:rsidR="00EC0420" w:rsidRPr="00164A63">
        <w:rPr>
          <w:rFonts w:asciiTheme="minorBidi" w:hAnsiTheme="minorBidi"/>
          <w:sz w:val="20"/>
          <w:szCs w:val="20"/>
        </w:rPr>
        <w:fldChar w:fldCharType="begin" w:fldLock="1"/>
      </w:r>
      <w:r w:rsidR="00203DD0" w:rsidRPr="00164A63">
        <w:rPr>
          <w:rFonts w:asciiTheme="minorBidi" w:hAnsiTheme="minorBidi"/>
          <w:sz w:val="20"/>
          <w:szCs w:val="20"/>
        </w:rPr>
        <w:instrText>ADDIN CSL_CITATION {"citationItems":[{"id":"ITEM-1","itemData":{"URL":"https://www.nccn.org/professionals/physician_gls/default.aspx#detection","accessed":{"date-parts":[["2019","12","14"]]},"id":"ITEM-1","issued":{"date-parts":[["0"]]},"title":"NCCN Clinical Practice Guidelines in Oncology","type":"webpage"},"uris":["http://www.mendeley.com/documents/?uuid=e0df8c70-d2fe-3513-8120-a64fe469d467"]}],"mendeley":{"formattedCitation":"(2)","plainTextFormattedCitation":"(2)","previouslyFormattedCitation":"(2)"},"properties":{"noteIndex":0},"schema":"https://github.com/citation-style-language/schema/raw/master/csl-citation.json"}</w:instrText>
      </w:r>
      <w:r w:rsidR="00EC0420" w:rsidRPr="00164A63">
        <w:rPr>
          <w:rFonts w:asciiTheme="minorBidi" w:hAnsiTheme="minorBidi"/>
          <w:sz w:val="20"/>
          <w:szCs w:val="20"/>
        </w:rPr>
        <w:fldChar w:fldCharType="separate"/>
      </w:r>
      <w:r w:rsidR="00263F57" w:rsidRPr="00164A63">
        <w:rPr>
          <w:rFonts w:asciiTheme="minorBidi" w:hAnsiTheme="minorBidi"/>
          <w:noProof/>
          <w:sz w:val="20"/>
          <w:szCs w:val="20"/>
        </w:rPr>
        <w:t>(2)</w:t>
      </w:r>
      <w:r w:rsidR="00EC0420" w:rsidRPr="00164A63">
        <w:rPr>
          <w:rFonts w:asciiTheme="minorBidi" w:hAnsiTheme="minorBidi"/>
          <w:sz w:val="20"/>
          <w:szCs w:val="20"/>
        </w:rPr>
        <w:fldChar w:fldCharType="end"/>
      </w:r>
    </w:p>
    <w:bookmarkEnd w:id="0"/>
    <w:p w:rsidR="00D90762" w:rsidRPr="00164A63" w:rsidRDefault="00D90762" w:rsidP="00D90762">
      <w:pPr>
        <w:bidi w:val="0"/>
        <w:rPr>
          <w:rFonts w:ascii="Arial" w:eastAsia="Calibri" w:hAnsi="Arial" w:cs="Arial"/>
          <w:sz w:val="20"/>
          <w:szCs w:val="20"/>
        </w:rPr>
      </w:pPr>
    </w:p>
    <w:tbl>
      <w:tblPr>
        <w:tblStyle w:val="a3"/>
        <w:tblW w:w="0" w:type="auto"/>
        <w:tblLook w:val="04A0" w:firstRow="1" w:lastRow="0" w:firstColumn="1" w:lastColumn="0" w:noHBand="0" w:noVBand="1"/>
      </w:tblPr>
      <w:tblGrid>
        <w:gridCol w:w="2868"/>
        <w:gridCol w:w="1162"/>
        <w:gridCol w:w="1679"/>
        <w:gridCol w:w="1459"/>
        <w:gridCol w:w="1148"/>
      </w:tblGrid>
      <w:tr w:rsidR="00A93281" w:rsidRPr="00164A63" w:rsidTr="00A93281">
        <w:trPr>
          <w:trHeight w:val="1601"/>
        </w:trPr>
        <w:tc>
          <w:tcPr>
            <w:tcW w:w="2868" w:type="dxa"/>
          </w:tcPr>
          <w:p w:rsidR="00A93281" w:rsidRPr="00164A63" w:rsidRDefault="00A93281" w:rsidP="00D90762">
            <w:pPr>
              <w:bidi w:val="0"/>
              <w:rPr>
                <w:rFonts w:ascii="Arial" w:eastAsia="Calibri" w:hAnsi="Arial" w:cs="Arial"/>
                <w:sz w:val="20"/>
                <w:szCs w:val="20"/>
              </w:rPr>
            </w:pPr>
          </w:p>
        </w:tc>
        <w:tc>
          <w:tcPr>
            <w:tcW w:w="1162" w:type="dxa"/>
          </w:tcPr>
          <w:p w:rsidR="00A93281" w:rsidRPr="00164A63" w:rsidRDefault="00A93281" w:rsidP="00152721">
            <w:pPr>
              <w:bidi w:val="0"/>
              <w:rPr>
                <w:rFonts w:ascii="Arial" w:eastAsia="Calibri" w:hAnsi="Arial" w:cs="Arial"/>
                <w:sz w:val="20"/>
                <w:szCs w:val="20"/>
              </w:rPr>
            </w:pPr>
            <w:r w:rsidRPr="00164A63">
              <w:rPr>
                <w:rFonts w:ascii="Arial" w:eastAsia="Calibri" w:hAnsi="Arial" w:cs="Arial"/>
                <w:sz w:val="20"/>
                <w:szCs w:val="20"/>
              </w:rPr>
              <w:t>IMH code</w:t>
            </w:r>
          </w:p>
        </w:tc>
        <w:tc>
          <w:tcPr>
            <w:tcW w:w="1679" w:type="dxa"/>
          </w:tcPr>
          <w:p w:rsidR="00A93281" w:rsidRPr="00164A63" w:rsidRDefault="00A93281" w:rsidP="00203DD0">
            <w:pPr>
              <w:bidi w:val="0"/>
              <w:rPr>
                <w:rFonts w:ascii="Arial" w:eastAsia="Calibri" w:hAnsi="Arial" w:cs="Arial"/>
                <w:sz w:val="20"/>
                <w:szCs w:val="20"/>
              </w:rPr>
            </w:pPr>
            <w:r w:rsidRPr="00164A63">
              <w:rPr>
                <w:rFonts w:ascii="Arial" w:eastAsia="Calibri" w:hAnsi="Arial" w:cs="Arial"/>
                <w:sz w:val="20"/>
                <w:szCs w:val="20"/>
              </w:rPr>
              <w:t>Cost per service (</w:t>
            </w:r>
            <w:r w:rsidR="00203DD0" w:rsidRPr="00164A63">
              <w:rPr>
                <w:rFonts w:ascii="Arial" w:eastAsia="Calibri" w:hAnsi="Arial" w:cs="Arial"/>
                <w:sz w:val="20"/>
                <w:szCs w:val="20"/>
              </w:rPr>
              <w:t>NIS</w:t>
            </w:r>
            <w:r w:rsidRPr="00164A63">
              <w:rPr>
                <w:rFonts w:ascii="Arial" w:eastAsia="Calibri" w:hAnsi="Arial" w:cs="Arial"/>
                <w:sz w:val="20"/>
                <w:szCs w:val="20"/>
              </w:rPr>
              <w:t>)</w:t>
            </w:r>
          </w:p>
        </w:tc>
        <w:tc>
          <w:tcPr>
            <w:tcW w:w="1459" w:type="dxa"/>
          </w:tcPr>
          <w:p w:rsidR="00A93281" w:rsidRPr="00164A63" w:rsidRDefault="00A93281" w:rsidP="00D90762">
            <w:pPr>
              <w:bidi w:val="0"/>
              <w:rPr>
                <w:rFonts w:ascii="Arial" w:eastAsia="Calibri" w:hAnsi="Arial" w:cs="Arial"/>
                <w:sz w:val="20"/>
                <w:szCs w:val="20"/>
              </w:rPr>
            </w:pPr>
            <w:r w:rsidRPr="00164A63">
              <w:rPr>
                <w:rFonts w:ascii="Arial" w:eastAsia="Calibri" w:hAnsi="Arial" w:cs="Arial"/>
                <w:sz w:val="20"/>
                <w:szCs w:val="20"/>
              </w:rPr>
              <w:t>Number of services assumed in the model (per year)</w:t>
            </w:r>
          </w:p>
        </w:tc>
        <w:tc>
          <w:tcPr>
            <w:tcW w:w="1148" w:type="dxa"/>
          </w:tcPr>
          <w:p w:rsidR="00A93281" w:rsidRPr="00164A63" w:rsidRDefault="00A93281" w:rsidP="00D90762">
            <w:pPr>
              <w:bidi w:val="0"/>
              <w:rPr>
                <w:rFonts w:ascii="Arial" w:eastAsia="Calibri" w:hAnsi="Arial" w:cs="Arial"/>
                <w:sz w:val="20"/>
                <w:szCs w:val="20"/>
              </w:rPr>
            </w:pPr>
            <w:r w:rsidRPr="00164A63">
              <w:rPr>
                <w:rFonts w:ascii="Arial" w:eastAsia="Calibri" w:hAnsi="Arial" w:cs="Arial"/>
                <w:sz w:val="20"/>
                <w:szCs w:val="20"/>
              </w:rPr>
              <w:t>Total cost per patient</w:t>
            </w:r>
          </w:p>
        </w:tc>
      </w:tr>
      <w:tr w:rsidR="00A93281" w:rsidRPr="00164A63" w:rsidTr="00A93281">
        <w:trPr>
          <w:trHeight w:val="292"/>
        </w:trPr>
        <w:tc>
          <w:tcPr>
            <w:tcW w:w="2868" w:type="dxa"/>
          </w:tcPr>
          <w:p w:rsidR="00A93281" w:rsidRPr="00164A63" w:rsidRDefault="00A93281" w:rsidP="00D90762">
            <w:pPr>
              <w:bidi w:val="0"/>
              <w:rPr>
                <w:rFonts w:ascii="Arial" w:eastAsia="Calibri" w:hAnsi="Arial" w:cs="Arial"/>
                <w:sz w:val="20"/>
                <w:szCs w:val="20"/>
              </w:rPr>
            </w:pPr>
            <w:r w:rsidRPr="00164A63">
              <w:rPr>
                <w:rFonts w:ascii="Arial" w:eastAsia="Calibri" w:hAnsi="Arial" w:cs="Arial"/>
                <w:sz w:val="20"/>
                <w:szCs w:val="20"/>
              </w:rPr>
              <w:t>Breast US</w:t>
            </w:r>
          </w:p>
        </w:tc>
        <w:tc>
          <w:tcPr>
            <w:tcW w:w="1162" w:type="dxa"/>
          </w:tcPr>
          <w:p w:rsidR="00A93281" w:rsidRPr="00164A63" w:rsidRDefault="00A93281" w:rsidP="00D90762">
            <w:pPr>
              <w:bidi w:val="0"/>
              <w:rPr>
                <w:rFonts w:ascii="Arial" w:eastAsia="Calibri" w:hAnsi="Arial" w:cs="Arial"/>
                <w:sz w:val="20"/>
                <w:szCs w:val="20"/>
              </w:rPr>
            </w:pPr>
            <w:r w:rsidRPr="00164A63">
              <w:rPr>
                <w:rFonts w:ascii="Arial" w:eastAsia="Calibri" w:hAnsi="Arial" w:cs="Arial" w:hint="cs"/>
                <w:sz w:val="20"/>
                <w:szCs w:val="20"/>
                <w:rtl/>
              </w:rPr>
              <w:t>76645</w:t>
            </w:r>
          </w:p>
        </w:tc>
        <w:tc>
          <w:tcPr>
            <w:tcW w:w="1679" w:type="dxa"/>
          </w:tcPr>
          <w:p w:rsidR="00A93281" w:rsidRPr="00164A63" w:rsidRDefault="00A93281" w:rsidP="00450DA3">
            <w:pPr>
              <w:bidi w:val="0"/>
              <w:rPr>
                <w:rFonts w:ascii="Arial" w:eastAsia="Calibri" w:hAnsi="Arial" w:cs="Arial"/>
                <w:sz w:val="20"/>
                <w:szCs w:val="20"/>
              </w:rPr>
            </w:pPr>
            <w:r w:rsidRPr="00164A63">
              <w:rPr>
                <w:rFonts w:ascii="Arial" w:eastAsia="Calibri" w:hAnsi="Arial" w:cs="Arial" w:hint="cs"/>
                <w:sz w:val="20"/>
                <w:szCs w:val="20"/>
                <w:rtl/>
              </w:rPr>
              <w:t>2</w:t>
            </w:r>
            <w:r w:rsidRPr="00164A63">
              <w:rPr>
                <w:rFonts w:ascii="Arial" w:eastAsia="Calibri" w:hAnsi="Arial" w:cs="Arial"/>
                <w:sz w:val="20"/>
                <w:szCs w:val="20"/>
              </w:rPr>
              <w:t>7</w:t>
            </w:r>
            <w:r w:rsidR="00450DA3" w:rsidRPr="00164A63">
              <w:rPr>
                <w:rFonts w:ascii="Arial" w:eastAsia="Calibri" w:hAnsi="Arial" w:cs="Arial"/>
                <w:sz w:val="20"/>
                <w:szCs w:val="20"/>
              </w:rPr>
              <w:t>7</w:t>
            </w:r>
          </w:p>
        </w:tc>
        <w:tc>
          <w:tcPr>
            <w:tcW w:w="1459" w:type="dxa"/>
          </w:tcPr>
          <w:p w:rsidR="00A93281" w:rsidRPr="00164A63" w:rsidRDefault="00A93281" w:rsidP="00D90762">
            <w:pPr>
              <w:bidi w:val="0"/>
              <w:rPr>
                <w:rFonts w:ascii="Arial" w:eastAsia="Calibri" w:hAnsi="Arial" w:cs="Arial"/>
                <w:sz w:val="20"/>
                <w:szCs w:val="20"/>
              </w:rPr>
            </w:pPr>
            <w:r w:rsidRPr="00164A63">
              <w:rPr>
                <w:rFonts w:ascii="Arial" w:eastAsia="Calibri" w:hAnsi="Arial" w:cs="Arial" w:hint="cs"/>
                <w:sz w:val="20"/>
                <w:szCs w:val="20"/>
                <w:rtl/>
              </w:rPr>
              <w:t>1</w:t>
            </w:r>
          </w:p>
        </w:tc>
        <w:tc>
          <w:tcPr>
            <w:tcW w:w="1148" w:type="dxa"/>
          </w:tcPr>
          <w:p w:rsidR="00A93281" w:rsidRPr="00164A63" w:rsidRDefault="00A93281" w:rsidP="00450DA3">
            <w:pPr>
              <w:bidi w:val="0"/>
              <w:rPr>
                <w:rFonts w:ascii="Arial" w:eastAsia="Calibri" w:hAnsi="Arial" w:cs="Arial"/>
                <w:sz w:val="20"/>
                <w:szCs w:val="20"/>
              </w:rPr>
            </w:pPr>
            <w:r w:rsidRPr="00164A63">
              <w:rPr>
                <w:rFonts w:ascii="Arial" w:eastAsia="Calibri" w:hAnsi="Arial" w:cs="Arial" w:hint="cs"/>
                <w:sz w:val="20"/>
                <w:szCs w:val="20"/>
                <w:rtl/>
              </w:rPr>
              <w:t>2</w:t>
            </w:r>
            <w:r w:rsidR="00450DA3" w:rsidRPr="00164A63">
              <w:rPr>
                <w:rFonts w:ascii="Arial" w:eastAsia="Calibri" w:hAnsi="Arial" w:cs="Arial"/>
                <w:sz w:val="20"/>
                <w:szCs w:val="20"/>
              </w:rPr>
              <w:t>77</w:t>
            </w:r>
          </w:p>
        </w:tc>
      </w:tr>
      <w:tr w:rsidR="00A93281" w:rsidRPr="00164A63" w:rsidTr="00A93281">
        <w:trPr>
          <w:trHeight w:val="281"/>
        </w:trPr>
        <w:tc>
          <w:tcPr>
            <w:tcW w:w="2868" w:type="dxa"/>
          </w:tcPr>
          <w:p w:rsidR="00A93281" w:rsidRPr="00164A63" w:rsidRDefault="00A93281" w:rsidP="00EC7F2E">
            <w:pPr>
              <w:bidi w:val="0"/>
              <w:rPr>
                <w:rFonts w:ascii="Arial" w:eastAsia="Calibri" w:hAnsi="Arial" w:cs="Arial"/>
                <w:sz w:val="20"/>
                <w:szCs w:val="20"/>
              </w:rPr>
            </w:pPr>
            <w:r w:rsidRPr="00164A63">
              <w:rPr>
                <w:rFonts w:ascii="Arial" w:eastAsia="Calibri" w:hAnsi="Arial" w:cs="Arial"/>
                <w:sz w:val="20"/>
                <w:szCs w:val="20"/>
              </w:rPr>
              <w:t xml:space="preserve">Breast MRI </w:t>
            </w:r>
          </w:p>
        </w:tc>
        <w:tc>
          <w:tcPr>
            <w:tcW w:w="1162" w:type="dxa"/>
          </w:tcPr>
          <w:p w:rsidR="00A93281" w:rsidRPr="00164A63" w:rsidRDefault="00A93281" w:rsidP="00EC7F2E">
            <w:pPr>
              <w:bidi w:val="0"/>
              <w:rPr>
                <w:rFonts w:ascii="Arial" w:eastAsia="Calibri" w:hAnsi="Arial" w:cs="Arial"/>
                <w:sz w:val="20"/>
                <w:szCs w:val="20"/>
              </w:rPr>
            </w:pPr>
            <w:r w:rsidRPr="00164A63">
              <w:rPr>
                <w:rFonts w:ascii="Arial" w:eastAsia="Calibri" w:hAnsi="Arial" w:cs="Arial"/>
                <w:sz w:val="20"/>
                <w:szCs w:val="20"/>
              </w:rPr>
              <w:t>77059</w:t>
            </w:r>
          </w:p>
        </w:tc>
        <w:tc>
          <w:tcPr>
            <w:tcW w:w="1679" w:type="dxa"/>
          </w:tcPr>
          <w:p w:rsidR="00A93281" w:rsidRPr="00164A63" w:rsidRDefault="00A93281" w:rsidP="00450DA3">
            <w:pPr>
              <w:bidi w:val="0"/>
              <w:rPr>
                <w:rFonts w:ascii="Arial" w:eastAsia="Calibri" w:hAnsi="Arial" w:cs="Arial"/>
                <w:sz w:val="20"/>
                <w:szCs w:val="20"/>
              </w:rPr>
            </w:pPr>
            <w:r w:rsidRPr="00164A63">
              <w:rPr>
                <w:rFonts w:ascii="Arial" w:eastAsia="Calibri" w:hAnsi="Arial" w:cs="Arial"/>
                <w:sz w:val="20"/>
                <w:szCs w:val="20"/>
              </w:rPr>
              <w:t>2,0</w:t>
            </w:r>
            <w:r w:rsidR="00450DA3" w:rsidRPr="00164A63">
              <w:rPr>
                <w:rFonts w:ascii="Arial" w:eastAsia="Calibri" w:hAnsi="Arial" w:cs="Arial"/>
                <w:sz w:val="20"/>
                <w:szCs w:val="20"/>
              </w:rPr>
              <w:t>68</w:t>
            </w:r>
          </w:p>
        </w:tc>
        <w:tc>
          <w:tcPr>
            <w:tcW w:w="1459" w:type="dxa"/>
          </w:tcPr>
          <w:p w:rsidR="00A93281" w:rsidRPr="00164A63" w:rsidRDefault="00A93281" w:rsidP="00EC7F2E">
            <w:pPr>
              <w:bidi w:val="0"/>
              <w:rPr>
                <w:rFonts w:ascii="Arial" w:eastAsia="Calibri" w:hAnsi="Arial" w:cs="Arial"/>
                <w:sz w:val="20"/>
                <w:szCs w:val="20"/>
              </w:rPr>
            </w:pPr>
            <w:r w:rsidRPr="00164A63">
              <w:rPr>
                <w:rFonts w:ascii="Arial" w:eastAsia="Calibri" w:hAnsi="Arial" w:cs="Arial"/>
                <w:sz w:val="20"/>
                <w:szCs w:val="20"/>
              </w:rPr>
              <w:t>1</w:t>
            </w:r>
          </w:p>
        </w:tc>
        <w:tc>
          <w:tcPr>
            <w:tcW w:w="1148" w:type="dxa"/>
          </w:tcPr>
          <w:p w:rsidR="00A93281" w:rsidRPr="00164A63" w:rsidRDefault="00450DA3" w:rsidP="00450DA3">
            <w:pPr>
              <w:bidi w:val="0"/>
              <w:rPr>
                <w:rFonts w:ascii="Arial" w:eastAsia="Calibri" w:hAnsi="Arial" w:cs="Arial"/>
                <w:sz w:val="20"/>
                <w:szCs w:val="20"/>
              </w:rPr>
            </w:pPr>
            <w:r w:rsidRPr="00164A63">
              <w:rPr>
                <w:rFonts w:ascii="Arial" w:eastAsia="Calibri" w:hAnsi="Arial" w:cs="Arial" w:hint="cs"/>
                <w:sz w:val="20"/>
                <w:szCs w:val="20"/>
                <w:rtl/>
              </w:rPr>
              <w:t>2,068</w:t>
            </w:r>
          </w:p>
        </w:tc>
      </w:tr>
      <w:tr w:rsidR="00A93281" w:rsidRPr="00164A63" w:rsidTr="00A93281">
        <w:trPr>
          <w:trHeight w:val="573"/>
        </w:trPr>
        <w:tc>
          <w:tcPr>
            <w:tcW w:w="2868" w:type="dxa"/>
          </w:tcPr>
          <w:p w:rsidR="00A93281" w:rsidRPr="00164A63" w:rsidRDefault="00A93281" w:rsidP="00EC7F2E">
            <w:pPr>
              <w:bidi w:val="0"/>
              <w:rPr>
                <w:rFonts w:ascii="Arial" w:eastAsia="Calibri" w:hAnsi="Arial" w:cs="Arial"/>
                <w:sz w:val="20"/>
                <w:szCs w:val="20"/>
              </w:rPr>
            </w:pPr>
            <w:r w:rsidRPr="00164A63">
              <w:rPr>
                <w:rFonts w:ascii="Arial" w:eastAsia="Calibri" w:hAnsi="Arial" w:cs="Arial"/>
                <w:sz w:val="20"/>
                <w:szCs w:val="20"/>
              </w:rPr>
              <w:t>Breast surgeon follow up</w:t>
            </w:r>
          </w:p>
        </w:tc>
        <w:tc>
          <w:tcPr>
            <w:tcW w:w="1162" w:type="dxa"/>
          </w:tcPr>
          <w:p w:rsidR="00A93281" w:rsidRPr="00164A63" w:rsidRDefault="00A93281" w:rsidP="00EC7F2E">
            <w:pPr>
              <w:bidi w:val="0"/>
              <w:rPr>
                <w:rFonts w:ascii="Arial" w:eastAsia="Calibri" w:hAnsi="Arial" w:cs="Arial"/>
                <w:sz w:val="20"/>
                <w:szCs w:val="20"/>
              </w:rPr>
            </w:pPr>
            <w:r w:rsidRPr="00164A63">
              <w:rPr>
                <w:rFonts w:ascii="Arial" w:eastAsia="Calibri" w:hAnsi="Arial" w:cs="Arial"/>
                <w:sz w:val="20"/>
                <w:szCs w:val="20"/>
              </w:rPr>
              <w:t>L9266</w:t>
            </w:r>
          </w:p>
        </w:tc>
        <w:tc>
          <w:tcPr>
            <w:tcW w:w="1679" w:type="dxa"/>
          </w:tcPr>
          <w:p w:rsidR="00A93281" w:rsidRPr="00164A63" w:rsidRDefault="00A93281" w:rsidP="00450DA3">
            <w:pPr>
              <w:bidi w:val="0"/>
              <w:rPr>
                <w:rFonts w:ascii="Arial" w:eastAsia="Calibri" w:hAnsi="Arial" w:cs="Arial"/>
                <w:sz w:val="20"/>
                <w:szCs w:val="20"/>
              </w:rPr>
            </w:pPr>
            <w:r w:rsidRPr="00164A63">
              <w:rPr>
                <w:rFonts w:ascii="Arial" w:eastAsia="Calibri" w:hAnsi="Arial" w:cs="Arial"/>
                <w:sz w:val="20"/>
                <w:szCs w:val="20"/>
              </w:rPr>
              <w:t>15</w:t>
            </w:r>
            <w:r w:rsidR="00450DA3" w:rsidRPr="00164A63">
              <w:rPr>
                <w:rFonts w:ascii="Arial" w:eastAsia="Calibri" w:hAnsi="Arial" w:cs="Arial"/>
                <w:sz w:val="20"/>
                <w:szCs w:val="20"/>
              </w:rPr>
              <w:t>3</w:t>
            </w:r>
          </w:p>
        </w:tc>
        <w:tc>
          <w:tcPr>
            <w:tcW w:w="1459" w:type="dxa"/>
          </w:tcPr>
          <w:p w:rsidR="00A93281" w:rsidRPr="00164A63" w:rsidRDefault="00A93281" w:rsidP="00EC7F2E">
            <w:pPr>
              <w:bidi w:val="0"/>
              <w:rPr>
                <w:rFonts w:ascii="Arial" w:eastAsia="Calibri" w:hAnsi="Arial" w:cs="Arial"/>
                <w:sz w:val="20"/>
                <w:szCs w:val="20"/>
              </w:rPr>
            </w:pPr>
            <w:r w:rsidRPr="00164A63">
              <w:rPr>
                <w:rFonts w:ascii="Arial" w:eastAsia="Calibri" w:hAnsi="Arial" w:cs="Arial"/>
                <w:sz w:val="20"/>
                <w:szCs w:val="20"/>
              </w:rPr>
              <w:t>2</w:t>
            </w:r>
          </w:p>
        </w:tc>
        <w:tc>
          <w:tcPr>
            <w:tcW w:w="1148" w:type="dxa"/>
          </w:tcPr>
          <w:p w:rsidR="00A93281" w:rsidRPr="00164A63" w:rsidRDefault="00450DA3" w:rsidP="00EC7F2E">
            <w:pPr>
              <w:bidi w:val="0"/>
              <w:rPr>
                <w:rFonts w:ascii="Arial" w:eastAsia="Calibri" w:hAnsi="Arial" w:cs="Arial"/>
                <w:sz w:val="20"/>
                <w:szCs w:val="20"/>
              </w:rPr>
            </w:pPr>
            <w:r w:rsidRPr="00164A63">
              <w:rPr>
                <w:rFonts w:ascii="Arial" w:eastAsia="Calibri" w:hAnsi="Arial" w:cs="Arial"/>
                <w:sz w:val="20"/>
                <w:szCs w:val="20"/>
              </w:rPr>
              <w:t>306</w:t>
            </w:r>
          </w:p>
        </w:tc>
      </w:tr>
      <w:tr w:rsidR="00C317B6" w:rsidRPr="00164A63" w:rsidTr="00A93281">
        <w:trPr>
          <w:trHeight w:val="292"/>
        </w:trPr>
        <w:tc>
          <w:tcPr>
            <w:tcW w:w="2868" w:type="dxa"/>
          </w:tcPr>
          <w:p w:rsidR="00C317B6" w:rsidRPr="00164A63" w:rsidRDefault="00C317B6" w:rsidP="00EC7F2E">
            <w:pPr>
              <w:bidi w:val="0"/>
              <w:rPr>
                <w:rFonts w:ascii="Arial" w:eastAsia="Calibri" w:hAnsi="Arial" w:cs="Arial"/>
                <w:sz w:val="20"/>
                <w:szCs w:val="20"/>
              </w:rPr>
            </w:pPr>
            <w:r w:rsidRPr="00164A63">
              <w:rPr>
                <w:rFonts w:ascii="Arial" w:eastAsia="Calibri" w:hAnsi="Arial" w:cs="Arial"/>
                <w:sz w:val="20"/>
                <w:szCs w:val="20"/>
              </w:rPr>
              <w:t>Hormone replacement therapy</w:t>
            </w:r>
            <w:r w:rsidR="0035675E" w:rsidRPr="00164A63">
              <w:rPr>
                <w:rFonts w:ascii="Arial" w:eastAsia="Calibri" w:hAnsi="Arial" w:cs="Arial"/>
                <w:sz w:val="20"/>
                <w:szCs w:val="20"/>
              </w:rPr>
              <w:t xml:space="preserve"> after RRSO</w:t>
            </w:r>
          </w:p>
        </w:tc>
        <w:tc>
          <w:tcPr>
            <w:tcW w:w="1162" w:type="dxa"/>
          </w:tcPr>
          <w:p w:rsidR="00C317B6" w:rsidRPr="00164A63" w:rsidRDefault="00C317B6" w:rsidP="00EC7F2E">
            <w:pPr>
              <w:bidi w:val="0"/>
              <w:rPr>
                <w:rFonts w:ascii="Arial" w:eastAsia="Calibri" w:hAnsi="Arial" w:cs="Arial"/>
                <w:sz w:val="20"/>
                <w:szCs w:val="20"/>
              </w:rPr>
            </w:pPr>
            <w:r w:rsidRPr="00164A63">
              <w:rPr>
                <w:rFonts w:ascii="Arial" w:eastAsia="Calibri" w:hAnsi="Arial" w:cs="Arial"/>
                <w:sz w:val="20"/>
                <w:szCs w:val="20"/>
              </w:rPr>
              <w:t>4568</w:t>
            </w:r>
          </w:p>
        </w:tc>
        <w:tc>
          <w:tcPr>
            <w:tcW w:w="1679" w:type="dxa"/>
          </w:tcPr>
          <w:p w:rsidR="00C317B6" w:rsidRPr="00164A63" w:rsidRDefault="00C317B6" w:rsidP="00EC7F2E">
            <w:pPr>
              <w:bidi w:val="0"/>
              <w:rPr>
                <w:rFonts w:ascii="Arial" w:eastAsia="Calibri" w:hAnsi="Arial" w:cs="Arial"/>
                <w:sz w:val="20"/>
                <w:szCs w:val="20"/>
              </w:rPr>
            </w:pPr>
            <w:r w:rsidRPr="00164A63">
              <w:rPr>
                <w:rFonts w:ascii="Arial" w:eastAsia="Calibri" w:hAnsi="Arial" w:cs="Arial"/>
                <w:sz w:val="20"/>
                <w:szCs w:val="20"/>
              </w:rPr>
              <w:t>60/month</w:t>
            </w:r>
          </w:p>
        </w:tc>
        <w:tc>
          <w:tcPr>
            <w:tcW w:w="1459" w:type="dxa"/>
          </w:tcPr>
          <w:p w:rsidR="00C317B6" w:rsidRPr="00164A63" w:rsidRDefault="00C317B6" w:rsidP="00586D90">
            <w:pPr>
              <w:bidi w:val="0"/>
              <w:rPr>
                <w:rFonts w:ascii="Arial" w:eastAsia="Calibri" w:hAnsi="Arial" w:cs="Arial"/>
                <w:sz w:val="20"/>
                <w:szCs w:val="20"/>
              </w:rPr>
            </w:pPr>
            <w:r w:rsidRPr="00164A63">
              <w:rPr>
                <w:rFonts w:ascii="Arial" w:eastAsia="Calibri" w:hAnsi="Arial" w:cs="Arial"/>
                <w:sz w:val="20"/>
                <w:szCs w:val="20"/>
              </w:rPr>
              <w:t>12 for 50% of patients</w:t>
            </w:r>
            <w:r w:rsidR="00586D90" w:rsidRPr="00164A63">
              <w:rPr>
                <w:rFonts w:ascii="Arial" w:eastAsia="Calibri" w:hAnsi="Arial" w:cs="Arial"/>
                <w:sz w:val="20"/>
                <w:szCs w:val="20"/>
              </w:rPr>
              <w:fldChar w:fldCharType="begin" w:fldLock="1"/>
            </w:r>
            <w:r w:rsidR="00203DD0" w:rsidRPr="00164A63">
              <w:rPr>
                <w:rFonts w:ascii="Arial" w:eastAsia="Calibri" w:hAnsi="Arial" w:cs="Arial"/>
                <w:sz w:val="20"/>
                <w:szCs w:val="20"/>
              </w:rPr>
              <w:instrText>ADDIN CSL_CITATION {"citationItems":[{"id":"ITEM-1","itemData":{"DOI":"10.1111/aogs.13120","ISSN":"16000412","PMID":"28236297","abstract":"Introduction: After premenopausal risk-reducing salpingo-oophorectomy (RRSO) to prevent ovarian cancer, the non-cancer-related morbidity and mortality may be increased if sex hormones are not replaced. Several guidelines recommend systemic hormone replacement therapy (HRT) to these women until the expected age of menopause. We aimed to study the use of HRT after RRSO. Material and methods: Participants were 324 women after RRSO and 11 160 postmenopausal controls. A subsample of 950 controls had undergone bilateral salpingo-oophorectomy (BSO). All participants completed the same questionnaire regarding HRT use. We compared HRT use in the RRSO group with the BSO controls using logistic regression. Results: Among the women aged ≤52 years without a history of breast cancer, 51.7% of the RRSO group and 48.7% of the BSO controls reported current use of systemic HRT (odds ratio 1.13, 95% confidence interval 0.72–1.76). Among the HRT users, systemic estrogen was used by 35.1% and 58.7% in the RRSO and BSO control groups, respectively (p = 0.001). Among the women aged &gt;52 years, 16.8% of the RRSO group and 38.4% of the BSO controls (p &lt; 0.001) used systemic HRT. Conclusions: Among the RRSO women and BSO controls ≤52 years old without a history of breast cancer, relatively few were current users. If there are no contraindications, these women would benefit from systemic HRT. Additionally, almost 40% of the BSO controls &gt;52 years used systemic HRT. Doctors should be aware of this practice and prescribe systemic HRT when indicated.","author":[{"dropping-particle":"","family":"Johansen","given":"Nora","non-dropping-particle":"","parse-names":false,"suffix":""},{"dropping-particle":"","family":"Liavaag","given":"Astrid H.","non-dropping-particle":"","parse-names":false,"suffix":""},{"dropping-particle":"","family":"Iversen","given":"Ole Erik","non-dropping-particle":"","parse-names":false,"suffix":""},{"dropping-particle":"","family":"Dørum","given":"Anne","non-dropping-particle":"","parse-names":false,"suffix":""},{"dropping-particle":"","family":"Braaten","given":"Tonje","non-dropping-particle":"","parse-names":false,"suffix":""},{"dropping-particle":"","family":"Michelsen","given":"Trond M.","non-dropping-particle":"","parse-names":false,"suffix":""}],"container-title":"Acta Obstetricia et Gynecologica Scandinavica","id":"ITEM-1","issue":"5","issued":{"date-parts":[["2017","5","1"]]},"page":"547-555","publisher":"Wiley-Blackwell","title":"Use of hormone replacement therapy after risk-reducing salpingo-oophorectomy","type":"article-journal","volume":"96"},"uris":["http://www.mendeley.com/documents/?uuid=acaeb2e0-60e4-3e25-8649-3e1a754b617c"]}],"mendeley":{"formattedCitation":"(3)","plainTextFormattedCitation":"(3)","previouslyFormattedCitation":"(3)"},"properties":{"noteIndex":0},"schema":"https://github.com/citation-style-language/schema/raw/master/csl-citation.json"}</w:instrText>
            </w:r>
            <w:r w:rsidR="00586D90" w:rsidRPr="00164A63">
              <w:rPr>
                <w:rFonts w:ascii="Arial" w:eastAsia="Calibri" w:hAnsi="Arial" w:cs="Arial"/>
                <w:sz w:val="20"/>
                <w:szCs w:val="20"/>
              </w:rPr>
              <w:fldChar w:fldCharType="separate"/>
            </w:r>
            <w:r w:rsidR="00263F57" w:rsidRPr="00164A63">
              <w:rPr>
                <w:rFonts w:ascii="Arial" w:eastAsia="Calibri" w:hAnsi="Arial" w:cs="Arial"/>
                <w:noProof/>
                <w:sz w:val="20"/>
                <w:szCs w:val="20"/>
              </w:rPr>
              <w:t>(3)</w:t>
            </w:r>
            <w:r w:rsidR="00586D90" w:rsidRPr="00164A63">
              <w:rPr>
                <w:rFonts w:ascii="Arial" w:eastAsia="Calibri" w:hAnsi="Arial" w:cs="Arial"/>
                <w:sz w:val="20"/>
                <w:szCs w:val="20"/>
              </w:rPr>
              <w:fldChar w:fldCharType="end"/>
            </w:r>
          </w:p>
          <w:p w:rsidR="0035675E" w:rsidRPr="00164A63" w:rsidRDefault="0035675E" w:rsidP="0035675E">
            <w:pPr>
              <w:bidi w:val="0"/>
              <w:rPr>
                <w:rFonts w:ascii="Arial" w:eastAsia="Calibri" w:hAnsi="Arial" w:cs="Arial"/>
                <w:sz w:val="20"/>
                <w:szCs w:val="20"/>
              </w:rPr>
            </w:pPr>
            <w:r w:rsidRPr="00164A63">
              <w:rPr>
                <w:rFonts w:ascii="Arial" w:eastAsia="Calibri" w:hAnsi="Arial" w:cs="Arial"/>
                <w:sz w:val="20"/>
                <w:szCs w:val="20"/>
              </w:rPr>
              <w:t>For 10 years</w:t>
            </w:r>
          </w:p>
        </w:tc>
        <w:tc>
          <w:tcPr>
            <w:tcW w:w="1148" w:type="dxa"/>
          </w:tcPr>
          <w:p w:rsidR="00C317B6" w:rsidRPr="00164A63" w:rsidRDefault="00C317B6" w:rsidP="00EC7F2E">
            <w:pPr>
              <w:bidi w:val="0"/>
              <w:rPr>
                <w:rFonts w:ascii="Arial" w:eastAsia="Calibri" w:hAnsi="Arial" w:cs="Arial"/>
                <w:sz w:val="20"/>
                <w:szCs w:val="20"/>
              </w:rPr>
            </w:pPr>
            <w:r w:rsidRPr="00164A63">
              <w:rPr>
                <w:rFonts w:ascii="Arial" w:eastAsia="Calibri" w:hAnsi="Arial" w:cs="Arial"/>
                <w:sz w:val="20"/>
                <w:szCs w:val="20"/>
              </w:rPr>
              <w:t>360</w:t>
            </w:r>
          </w:p>
        </w:tc>
      </w:tr>
      <w:tr w:rsidR="00A93281" w:rsidRPr="00164A63" w:rsidTr="00A93281">
        <w:trPr>
          <w:trHeight w:val="281"/>
        </w:trPr>
        <w:tc>
          <w:tcPr>
            <w:tcW w:w="2868" w:type="dxa"/>
          </w:tcPr>
          <w:p w:rsidR="00A93281" w:rsidRPr="00164A63" w:rsidRDefault="00A93281" w:rsidP="00D90762">
            <w:pPr>
              <w:bidi w:val="0"/>
              <w:rPr>
                <w:rFonts w:ascii="Arial" w:eastAsia="Calibri" w:hAnsi="Arial" w:cs="Arial"/>
                <w:sz w:val="20"/>
                <w:szCs w:val="20"/>
              </w:rPr>
            </w:pPr>
            <w:r w:rsidRPr="00164A63">
              <w:rPr>
                <w:rFonts w:ascii="Arial" w:eastAsia="Calibri" w:hAnsi="Arial" w:cs="Arial"/>
                <w:sz w:val="20"/>
                <w:szCs w:val="20"/>
              </w:rPr>
              <w:t>Total cost</w:t>
            </w:r>
            <w:r w:rsidR="0035675E" w:rsidRPr="00164A63">
              <w:rPr>
                <w:rFonts w:ascii="Arial" w:eastAsia="Calibri" w:hAnsi="Arial" w:cs="Arial"/>
                <w:sz w:val="20"/>
                <w:szCs w:val="20"/>
              </w:rPr>
              <w:t xml:space="preserve"> before RRSO</w:t>
            </w:r>
          </w:p>
        </w:tc>
        <w:tc>
          <w:tcPr>
            <w:tcW w:w="1162" w:type="dxa"/>
          </w:tcPr>
          <w:p w:rsidR="00A93281" w:rsidRPr="00164A63" w:rsidRDefault="00A93281" w:rsidP="00D90762">
            <w:pPr>
              <w:bidi w:val="0"/>
              <w:rPr>
                <w:rFonts w:ascii="Arial" w:eastAsia="Calibri" w:hAnsi="Arial" w:cs="Arial"/>
                <w:sz w:val="20"/>
                <w:szCs w:val="20"/>
              </w:rPr>
            </w:pPr>
          </w:p>
        </w:tc>
        <w:tc>
          <w:tcPr>
            <w:tcW w:w="1679" w:type="dxa"/>
          </w:tcPr>
          <w:p w:rsidR="00A93281" w:rsidRPr="00164A63" w:rsidRDefault="00A93281" w:rsidP="00D90762">
            <w:pPr>
              <w:bidi w:val="0"/>
              <w:rPr>
                <w:rFonts w:ascii="Arial" w:eastAsia="Calibri" w:hAnsi="Arial" w:cs="Arial"/>
                <w:sz w:val="20"/>
                <w:szCs w:val="20"/>
              </w:rPr>
            </w:pPr>
          </w:p>
        </w:tc>
        <w:tc>
          <w:tcPr>
            <w:tcW w:w="1459" w:type="dxa"/>
          </w:tcPr>
          <w:p w:rsidR="00A93281" w:rsidRPr="00164A63" w:rsidRDefault="00A93281" w:rsidP="00D90762">
            <w:pPr>
              <w:bidi w:val="0"/>
              <w:rPr>
                <w:rFonts w:ascii="Arial" w:eastAsia="Calibri" w:hAnsi="Arial" w:cs="Arial"/>
                <w:sz w:val="20"/>
                <w:szCs w:val="20"/>
              </w:rPr>
            </w:pPr>
          </w:p>
        </w:tc>
        <w:tc>
          <w:tcPr>
            <w:tcW w:w="1148" w:type="dxa"/>
          </w:tcPr>
          <w:p w:rsidR="00A93281" w:rsidRPr="00164A63" w:rsidRDefault="0035675E" w:rsidP="00D90762">
            <w:pPr>
              <w:bidi w:val="0"/>
              <w:rPr>
                <w:rFonts w:ascii="Arial" w:eastAsia="Calibri" w:hAnsi="Arial" w:cs="Arial"/>
                <w:sz w:val="20"/>
                <w:szCs w:val="20"/>
              </w:rPr>
            </w:pPr>
            <w:r w:rsidRPr="00164A63">
              <w:rPr>
                <w:rFonts w:ascii="Arial" w:eastAsia="Calibri" w:hAnsi="Arial" w:cs="Arial"/>
                <w:sz w:val="20"/>
                <w:szCs w:val="20"/>
              </w:rPr>
              <w:t>2,651</w:t>
            </w:r>
          </w:p>
        </w:tc>
      </w:tr>
      <w:tr w:rsidR="0035675E" w:rsidRPr="00164A63" w:rsidTr="00A93281">
        <w:trPr>
          <w:trHeight w:val="281"/>
        </w:trPr>
        <w:tc>
          <w:tcPr>
            <w:tcW w:w="2868" w:type="dxa"/>
          </w:tcPr>
          <w:p w:rsidR="0035675E" w:rsidRPr="00164A63" w:rsidRDefault="0035675E" w:rsidP="00D90762">
            <w:pPr>
              <w:bidi w:val="0"/>
              <w:rPr>
                <w:rFonts w:ascii="Arial" w:eastAsia="Calibri" w:hAnsi="Arial" w:cs="Arial"/>
                <w:sz w:val="20"/>
                <w:szCs w:val="20"/>
              </w:rPr>
            </w:pPr>
            <w:r w:rsidRPr="00164A63">
              <w:rPr>
                <w:rFonts w:ascii="Arial" w:eastAsia="Calibri" w:hAnsi="Arial" w:cs="Arial"/>
                <w:sz w:val="20"/>
                <w:szCs w:val="20"/>
              </w:rPr>
              <w:t>After RRSO</w:t>
            </w:r>
          </w:p>
        </w:tc>
        <w:tc>
          <w:tcPr>
            <w:tcW w:w="1162" w:type="dxa"/>
          </w:tcPr>
          <w:p w:rsidR="0035675E" w:rsidRPr="00164A63" w:rsidRDefault="0035675E" w:rsidP="00D90762">
            <w:pPr>
              <w:bidi w:val="0"/>
              <w:rPr>
                <w:rFonts w:ascii="Arial" w:eastAsia="Calibri" w:hAnsi="Arial" w:cs="Arial"/>
                <w:sz w:val="20"/>
                <w:szCs w:val="20"/>
              </w:rPr>
            </w:pPr>
          </w:p>
        </w:tc>
        <w:tc>
          <w:tcPr>
            <w:tcW w:w="1679" w:type="dxa"/>
          </w:tcPr>
          <w:p w:rsidR="0035675E" w:rsidRPr="00164A63" w:rsidRDefault="0035675E" w:rsidP="00D90762">
            <w:pPr>
              <w:bidi w:val="0"/>
              <w:rPr>
                <w:rFonts w:ascii="Arial" w:eastAsia="Calibri" w:hAnsi="Arial" w:cs="Arial"/>
                <w:sz w:val="20"/>
                <w:szCs w:val="20"/>
              </w:rPr>
            </w:pPr>
          </w:p>
        </w:tc>
        <w:tc>
          <w:tcPr>
            <w:tcW w:w="1459" w:type="dxa"/>
          </w:tcPr>
          <w:p w:rsidR="0035675E" w:rsidRPr="00164A63" w:rsidRDefault="0035675E" w:rsidP="00D90762">
            <w:pPr>
              <w:bidi w:val="0"/>
              <w:rPr>
                <w:rFonts w:ascii="Arial" w:eastAsia="Calibri" w:hAnsi="Arial" w:cs="Arial"/>
                <w:sz w:val="20"/>
                <w:szCs w:val="20"/>
              </w:rPr>
            </w:pPr>
          </w:p>
        </w:tc>
        <w:tc>
          <w:tcPr>
            <w:tcW w:w="1148" w:type="dxa"/>
          </w:tcPr>
          <w:p w:rsidR="0035675E" w:rsidRPr="00164A63" w:rsidRDefault="0035675E" w:rsidP="00D90762">
            <w:pPr>
              <w:bidi w:val="0"/>
              <w:rPr>
                <w:rFonts w:ascii="Arial" w:eastAsia="Calibri" w:hAnsi="Arial" w:cs="Arial"/>
                <w:sz w:val="20"/>
                <w:szCs w:val="20"/>
              </w:rPr>
            </w:pPr>
            <w:r w:rsidRPr="00164A63">
              <w:rPr>
                <w:rFonts w:ascii="Arial" w:eastAsia="Calibri" w:hAnsi="Arial" w:cs="Arial"/>
                <w:sz w:val="20"/>
                <w:szCs w:val="20"/>
              </w:rPr>
              <w:t>2,753</w:t>
            </w:r>
          </w:p>
        </w:tc>
      </w:tr>
    </w:tbl>
    <w:p w:rsidR="00743968" w:rsidRPr="00164A63" w:rsidRDefault="00EC7F2E" w:rsidP="00EC7F2E">
      <w:pPr>
        <w:bidi w:val="0"/>
        <w:rPr>
          <w:rFonts w:asciiTheme="minorBidi" w:hAnsiTheme="minorBidi"/>
          <w:sz w:val="20"/>
          <w:szCs w:val="20"/>
        </w:rPr>
      </w:pPr>
      <w:r w:rsidRPr="00164A63">
        <w:rPr>
          <w:rFonts w:asciiTheme="minorBidi" w:hAnsiTheme="minorBidi"/>
          <w:sz w:val="20"/>
          <w:szCs w:val="20"/>
        </w:rPr>
        <w:t>IMH: Israeli ministry of health</w:t>
      </w:r>
      <w:r w:rsidR="00203DD0" w:rsidRPr="00164A63">
        <w:rPr>
          <w:rFonts w:asciiTheme="minorBidi" w:hAnsiTheme="minorBidi"/>
          <w:sz w:val="20"/>
          <w:szCs w:val="20"/>
        </w:rPr>
        <w:t>, NIS:</w:t>
      </w:r>
      <w:r w:rsidR="00203DD0" w:rsidRPr="00164A63">
        <w:rPr>
          <w:rFonts w:ascii="Arial" w:eastAsia="Calibri" w:hAnsi="Arial" w:cs="Arial"/>
          <w:sz w:val="20"/>
          <w:szCs w:val="20"/>
        </w:rPr>
        <w:t xml:space="preserve"> </w:t>
      </w:r>
      <w:r w:rsidR="00203DD0" w:rsidRPr="00164A63">
        <w:rPr>
          <w:rFonts w:ascii="Arial" w:eastAsia="Calibri" w:hAnsi="Arial" w:cs="Arial"/>
          <w:sz w:val="20"/>
          <w:szCs w:val="20"/>
        </w:rPr>
        <w:t>New Israeli shekels</w:t>
      </w:r>
    </w:p>
    <w:p w:rsidR="00203DD0" w:rsidRPr="00164A63" w:rsidRDefault="00EC7F2E" w:rsidP="00203DD0">
      <w:pPr>
        <w:widowControl w:val="0"/>
        <w:autoSpaceDE w:val="0"/>
        <w:autoSpaceDN w:val="0"/>
        <w:bidi w:val="0"/>
        <w:adjustRightInd w:val="0"/>
        <w:spacing w:line="240" w:lineRule="auto"/>
        <w:ind w:left="640" w:hanging="640"/>
        <w:rPr>
          <w:rFonts w:ascii="Arial" w:hAnsi="Arial" w:cs="Arial"/>
          <w:noProof/>
          <w:sz w:val="20"/>
          <w:szCs w:val="20"/>
        </w:rPr>
      </w:pPr>
      <w:r w:rsidRPr="00164A63">
        <w:rPr>
          <w:rFonts w:asciiTheme="minorBidi" w:hAnsiTheme="minorBidi"/>
          <w:sz w:val="20"/>
          <w:szCs w:val="20"/>
        </w:rPr>
        <w:fldChar w:fldCharType="begin" w:fldLock="1"/>
      </w:r>
      <w:r w:rsidRPr="00164A63">
        <w:rPr>
          <w:rFonts w:asciiTheme="minorBidi" w:hAnsiTheme="minorBidi"/>
          <w:sz w:val="20"/>
          <w:szCs w:val="20"/>
        </w:rPr>
        <w:instrText xml:space="preserve">ADDIN Mendeley Bibliography CSL_BIBLIOGRAPHY </w:instrText>
      </w:r>
      <w:r w:rsidRPr="00164A63">
        <w:rPr>
          <w:rFonts w:asciiTheme="minorBidi" w:hAnsiTheme="minorBidi"/>
          <w:sz w:val="20"/>
          <w:szCs w:val="20"/>
        </w:rPr>
        <w:fldChar w:fldCharType="separate"/>
      </w:r>
      <w:r w:rsidR="00203DD0" w:rsidRPr="00164A63">
        <w:rPr>
          <w:rFonts w:ascii="Arial" w:hAnsi="Arial" w:cs="Arial"/>
          <w:noProof/>
          <w:sz w:val="20"/>
          <w:szCs w:val="20"/>
        </w:rPr>
        <w:t xml:space="preserve">1. </w:t>
      </w:r>
      <w:r w:rsidR="00203DD0" w:rsidRPr="00164A63">
        <w:rPr>
          <w:rFonts w:ascii="Arial" w:hAnsi="Arial" w:cs="Arial"/>
          <w:noProof/>
          <w:sz w:val="20"/>
          <w:szCs w:val="20"/>
        </w:rPr>
        <w:tab/>
        <w:t>Ministry of Health pricing list, 2020 [Internet]. 2020 [cited 2020 Oct 15]. Available from: https://www.health.gov.il/Subjects/Finance/Taarifon/Pages/PriceList.aspx</w:t>
      </w:r>
    </w:p>
    <w:p w:rsidR="00203DD0" w:rsidRPr="00164A63" w:rsidRDefault="00203DD0" w:rsidP="00203DD0">
      <w:pPr>
        <w:widowControl w:val="0"/>
        <w:autoSpaceDE w:val="0"/>
        <w:autoSpaceDN w:val="0"/>
        <w:bidi w:val="0"/>
        <w:adjustRightInd w:val="0"/>
        <w:spacing w:line="240" w:lineRule="auto"/>
        <w:ind w:left="640" w:hanging="640"/>
        <w:rPr>
          <w:rFonts w:ascii="Arial" w:hAnsi="Arial" w:cs="Arial"/>
          <w:noProof/>
          <w:sz w:val="20"/>
          <w:szCs w:val="20"/>
        </w:rPr>
      </w:pPr>
      <w:r w:rsidRPr="00164A63">
        <w:rPr>
          <w:rFonts w:ascii="Arial" w:hAnsi="Arial" w:cs="Arial"/>
          <w:noProof/>
          <w:sz w:val="20"/>
          <w:szCs w:val="20"/>
        </w:rPr>
        <w:t xml:space="preserve">2. </w:t>
      </w:r>
      <w:r w:rsidRPr="00164A63">
        <w:rPr>
          <w:rFonts w:ascii="Arial" w:hAnsi="Arial" w:cs="Arial"/>
          <w:noProof/>
          <w:sz w:val="20"/>
          <w:szCs w:val="20"/>
        </w:rPr>
        <w:tab/>
        <w:t>NCCN Clinical Practice Guidelines in Oncology [Internet]. [cited 2019 Dec 14]. Available from: https://www.nccn.org/professionals/physician_gls/default.aspx#detection</w:t>
      </w:r>
    </w:p>
    <w:p w:rsidR="00203DD0" w:rsidRPr="00164A63" w:rsidRDefault="00203DD0" w:rsidP="00203DD0">
      <w:pPr>
        <w:widowControl w:val="0"/>
        <w:autoSpaceDE w:val="0"/>
        <w:autoSpaceDN w:val="0"/>
        <w:bidi w:val="0"/>
        <w:adjustRightInd w:val="0"/>
        <w:spacing w:line="240" w:lineRule="auto"/>
        <w:ind w:left="640" w:hanging="640"/>
        <w:rPr>
          <w:rFonts w:ascii="Arial" w:hAnsi="Arial" w:cs="Arial"/>
          <w:noProof/>
          <w:sz w:val="20"/>
          <w:szCs w:val="20"/>
        </w:rPr>
      </w:pPr>
      <w:r w:rsidRPr="00164A63">
        <w:rPr>
          <w:rFonts w:ascii="Arial" w:hAnsi="Arial" w:cs="Arial"/>
          <w:noProof/>
          <w:sz w:val="20"/>
          <w:szCs w:val="20"/>
        </w:rPr>
        <w:t xml:space="preserve">3. </w:t>
      </w:r>
      <w:r w:rsidRPr="00164A63">
        <w:rPr>
          <w:rFonts w:ascii="Arial" w:hAnsi="Arial" w:cs="Arial"/>
          <w:noProof/>
          <w:sz w:val="20"/>
          <w:szCs w:val="20"/>
        </w:rPr>
        <w:tab/>
        <w:t>Johansen N, Liavaag AH, Iversen OE, Dørum A, Braaten T, Michelsen TM. Use of hormone replacement therapy after risk-reducing salpingo-oophorectomy. Acta Obstet Gynecol Scand [Internet]. Wiley-Blackwell; 2017 [cited 2020 Sep 20];96:547–55. Available from: https://pubmed.ncbi.nlm.nih.gov/28236297/</w:t>
      </w:r>
    </w:p>
    <w:p w:rsidR="00EC7F2E" w:rsidRPr="00164A63" w:rsidRDefault="00EC7F2E" w:rsidP="00EC7F2E">
      <w:pPr>
        <w:bidi w:val="0"/>
        <w:rPr>
          <w:rFonts w:asciiTheme="minorBidi" w:hAnsiTheme="minorBidi"/>
          <w:sz w:val="20"/>
          <w:szCs w:val="20"/>
        </w:rPr>
      </w:pPr>
      <w:r w:rsidRPr="00164A63">
        <w:rPr>
          <w:rFonts w:asciiTheme="minorBidi" w:hAnsiTheme="minorBidi"/>
          <w:sz w:val="20"/>
          <w:szCs w:val="20"/>
        </w:rPr>
        <w:fldChar w:fldCharType="end"/>
      </w:r>
    </w:p>
    <w:sectPr w:rsidR="00EC7F2E" w:rsidRPr="00164A63" w:rsidSect="00485BC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62"/>
    <w:rsid w:val="00152721"/>
    <w:rsid w:val="00164A63"/>
    <w:rsid w:val="00203DD0"/>
    <w:rsid w:val="00263F57"/>
    <w:rsid w:val="00281ABD"/>
    <w:rsid w:val="0035675E"/>
    <w:rsid w:val="00414DE6"/>
    <w:rsid w:val="00450DA3"/>
    <w:rsid w:val="00485BC8"/>
    <w:rsid w:val="00586D90"/>
    <w:rsid w:val="00756F83"/>
    <w:rsid w:val="00A530D8"/>
    <w:rsid w:val="00A754C9"/>
    <w:rsid w:val="00A93281"/>
    <w:rsid w:val="00C20D50"/>
    <w:rsid w:val="00C317B6"/>
    <w:rsid w:val="00D90762"/>
    <w:rsid w:val="00EC0420"/>
    <w:rsid w:val="00EC7F2E"/>
    <w:rsid w:val="00ED10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2C4D9"/>
  <w15:chartTrackingRefBased/>
  <w15:docId w15:val="{991564EF-F0FD-452E-85D8-F85E19387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0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7F2E"/>
    <w:pPr>
      <w:ind w:left="720"/>
      <w:contextualSpacing/>
    </w:pPr>
  </w:style>
  <w:style w:type="table" w:customStyle="1" w:styleId="1">
    <w:name w:val="רשת טבלה1"/>
    <w:basedOn w:val="a1"/>
    <w:next w:val="a3"/>
    <w:uiPriority w:val="39"/>
    <w:rsid w:val="00356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63F57"/>
    <w:pPr>
      <w:spacing w:after="0" w:line="240" w:lineRule="auto"/>
    </w:pPr>
    <w:rPr>
      <w:rFonts w:ascii="Segoe UI" w:hAnsi="Segoe UI" w:cs="Segoe UI"/>
      <w:sz w:val="18"/>
      <w:szCs w:val="18"/>
    </w:rPr>
  </w:style>
  <w:style w:type="character" w:customStyle="1" w:styleId="a6">
    <w:name w:val="טקסט בלונים תו"/>
    <w:basedOn w:val="a0"/>
    <w:link w:val="a5"/>
    <w:uiPriority w:val="99"/>
    <w:semiHidden/>
    <w:rsid w:val="00263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2F8D-D71A-4D3A-A909-F734E2C8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923</Words>
  <Characters>4615</Characters>
  <Application>Microsoft Office Word</Application>
  <DocSecurity>0</DocSecurity>
  <Lines>38</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nadav michaan</dc:creator>
  <cp:keywords/>
  <dc:description/>
  <cp:lastModifiedBy>nadav michaan</cp:lastModifiedBy>
  <cp:revision>15</cp:revision>
  <dcterms:created xsi:type="dcterms:W3CDTF">2019-12-14T07:50:00Z</dcterms:created>
  <dcterms:modified xsi:type="dcterms:W3CDTF">2020-10-15T17:03:00Z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http://www.zotero.org/styles/cancer-prevention-research</vt:lpwstr>
  </property>
  <property fmtid="{D5CDD505-2E9C-101B-9397-08002B2CF9AE}" pid="11" name="Mendeley Recent Style Name 4_1">
    <vt:lpwstr>Cancer Prevention Research</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e4652711-ecb6-3cd6-bccb-916a4ebd0a5a</vt:lpwstr>
  </property>
  <property fmtid="{D5CDD505-2E9C-101B-9397-08002B2CF9AE}" pid="24" name="Mendeley Citation Style_1">
    <vt:lpwstr>http://www.zotero.org/styles/cancer-prevention-research</vt:lpwstr>
  </property>
</Properties>
</file>