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C7" w:rsidRPr="00E61F70" w:rsidRDefault="000167C7" w:rsidP="000167C7">
      <w:pPr>
        <w:bidi w:val="0"/>
        <w:rPr>
          <w:rFonts w:ascii="Arial" w:eastAsia="Calibri" w:hAnsi="Arial" w:cs="Arial"/>
          <w:sz w:val="20"/>
          <w:szCs w:val="20"/>
        </w:rPr>
      </w:pPr>
      <w:r w:rsidRPr="00E61F70">
        <w:rPr>
          <w:rFonts w:ascii="Arial" w:eastAsia="Calibri" w:hAnsi="Arial" w:cs="Arial"/>
          <w:sz w:val="20"/>
          <w:szCs w:val="20"/>
        </w:rPr>
        <w:t>Supplementary Table 1: ovarian cancer diagnosis and treatment costs</w:t>
      </w:r>
      <w:r w:rsidR="00A019F0" w:rsidRPr="00E61F70">
        <w:rPr>
          <w:rFonts w:ascii="Arial" w:eastAsia="Calibri" w:hAnsi="Arial" w:cs="Arial"/>
          <w:sz w:val="20"/>
          <w:szCs w:val="20"/>
        </w:rPr>
        <w:t xml:space="preserve"> </w:t>
      </w:r>
    </w:p>
    <w:p w:rsidR="00A019F0" w:rsidRPr="00E61F70" w:rsidRDefault="00A019F0" w:rsidP="00E4511C">
      <w:pPr>
        <w:bidi w:val="0"/>
        <w:rPr>
          <w:rFonts w:ascii="Arial" w:eastAsia="Calibri" w:hAnsi="Arial" w:cs="Arial"/>
          <w:sz w:val="20"/>
          <w:szCs w:val="20"/>
        </w:rPr>
      </w:pPr>
      <w:r w:rsidRPr="00E61F70">
        <w:rPr>
          <w:rFonts w:ascii="Arial" w:eastAsia="Calibri" w:hAnsi="Arial" w:cs="Arial"/>
          <w:sz w:val="20"/>
          <w:szCs w:val="20"/>
        </w:rPr>
        <w:t>(</w:t>
      </w:r>
      <w:r w:rsidRPr="00E61F70">
        <w:rPr>
          <w:rFonts w:asciiTheme="minorBidi" w:hAnsiTheme="minorBidi"/>
          <w:sz w:val="20"/>
          <w:szCs w:val="20"/>
        </w:rPr>
        <w:t>All costs received from IMH</w:t>
      </w:r>
      <w:r w:rsidR="000E3286" w:rsidRPr="00E61F70">
        <w:rPr>
          <w:rFonts w:asciiTheme="minorBidi" w:hAnsiTheme="minorBidi"/>
          <w:sz w:val="20"/>
          <w:szCs w:val="20"/>
        </w:rPr>
        <w:t>*</w:t>
      </w:r>
      <w:r w:rsidRPr="00E61F70">
        <w:rPr>
          <w:rFonts w:asciiTheme="minorBidi" w:hAnsiTheme="minorBidi"/>
          <w:sz w:val="20"/>
          <w:szCs w:val="20"/>
        </w:rPr>
        <w:t xml:space="preserve"> pricing list </w:t>
      </w:r>
      <w:r w:rsidR="00E4511C">
        <w:rPr>
          <w:rFonts w:ascii="Arial" w:eastAsia="Calibri" w:hAnsi="Arial" w:cs="Arial"/>
          <w:sz w:val="20"/>
          <w:szCs w:val="20"/>
        </w:rPr>
        <w:fldChar w:fldCharType="begin" w:fldLock="1"/>
      </w:r>
      <w:r w:rsidR="00D907AB">
        <w:rPr>
          <w:rFonts w:ascii="Arial" w:eastAsia="Calibri" w:hAnsi="Arial" w:cs="Arial"/>
          <w:sz w:val="20"/>
          <w:szCs w:val="20"/>
        </w:rPr>
        <w:instrText>ADDIN CSL_CITATION {"citationItems":[{"id":"ITEM-1","itemData":{"URL":"https://www.health.gov.il/Subjects/Finance/Taarifon/Pages/PriceList.aspx","accessed":{"date-parts":[["2020","10","15"]]},"id":"ITEM-1","issued":{"date-parts":[["2020"]]},"title":"Ministry of Health pricing list, 2020","type":"webpage"},"uris":["http://www.mendeley.com/documents/?uuid=e081b21a-28b6-3626-b2d2-becdb29d04dd"]}],"mendeley":{"formattedCitation":"(1)","plainTextFormattedCitation":"(1)","previouslyFormattedCitation":"(1)"},"properties":{"noteIndex":0},"schema":"https://github.com/citation-style-language/schema/raw/master/csl-citation.json"}</w:instrText>
      </w:r>
      <w:r w:rsidR="00E4511C">
        <w:rPr>
          <w:rFonts w:ascii="Arial" w:eastAsia="Calibri" w:hAnsi="Arial" w:cs="Arial"/>
          <w:sz w:val="20"/>
          <w:szCs w:val="20"/>
        </w:rPr>
        <w:fldChar w:fldCharType="separate"/>
      </w:r>
      <w:r w:rsidR="00E4511C" w:rsidRPr="00E4511C">
        <w:rPr>
          <w:rFonts w:ascii="Arial" w:eastAsia="Calibri" w:hAnsi="Arial" w:cs="Arial"/>
          <w:noProof/>
          <w:sz w:val="20"/>
          <w:szCs w:val="20"/>
        </w:rPr>
        <w:t>(1)</w:t>
      </w:r>
      <w:r w:rsidR="00E4511C">
        <w:rPr>
          <w:rFonts w:ascii="Arial" w:eastAsia="Calibri" w:hAnsi="Arial" w:cs="Arial"/>
          <w:sz w:val="20"/>
          <w:szCs w:val="20"/>
        </w:rPr>
        <w:fldChar w:fldCharType="end"/>
      </w:r>
    </w:p>
    <w:p w:rsidR="00A019F0" w:rsidRPr="00E61F70" w:rsidRDefault="00A019F0" w:rsidP="00A019F0">
      <w:pPr>
        <w:bidi w:val="0"/>
        <w:rPr>
          <w:rFonts w:ascii="Arial" w:eastAsia="Calibri" w:hAnsi="Arial" w:cs="Arial"/>
          <w:sz w:val="20"/>
          <w:szCs w:val="20"/>
          <w:rtl/>
        </w:rPr>
      </w:pPr>
    </w:p>
    <w:tbl>
      <w:tblPr>
        <w:tblStyle w:val="a3"/>
        <w:tblW w:w="0" w:type="auto"/>
        <w:tblLayout w:type="fixed"/>
        <w:tblLook w:val="04A0" w:firstRow="1" w:lastRow="0" w:firstColumn="1" w:lastColumn="0" w:noHBand="0" w:noVBand="1"/>
      </w:tblPr>
      <w:tblGrid>
        <w:gridCol w:w="1763"/>
        <w:gridCol w:w="842"/>
        <w:gridCol w:w="1170"/>
        <w:gridCol w:w="1980"/>
        <w:gridCol w:w="1170"/>
        <w:gridCol w:w="1800"/>
      </w:tblGrid>
      <w:tr w:rsidR="00E61F70" w:rsidRPr="00E61F70" w:rsidTr="006C3048">
        <w:trPr>
          <w:trHeight w:val="836"/>
        </w:trPr>
        <w:tc>
          <w:tcPr>
            <w:tcW w:w="1763" w:type="dxa"/>
          </w:tcPr>
          <w:p w:rsidR="004F4C94" w:rsidRPr="00E61F70" w:rsidRDefault="004F4C94" w:rsidP="000167C7">
            <w:pPr>
              <w:bidi w:val="0"/>
              <w:rPr>
                <w:rFonts w:ascii="Arial" w:eastAsia="Calibri" w:hAnsi="Arial" w:cs="Arial"/>
                <w:sz w:val="20"/>
                <w:szCs w:val="20"/>
              </w:rPr>
            </w:pPr>
          </w:p>
        </w:tc>
        <w:tc>
          <w:tcPr>
            <w:tcW w:w="842" w:type="dxa"/>
          </w:tcPr>
          <w:p w:rsidR="004F4C94" w:rsidRPr="00E61F70" w:rsidRDefault="004F4C94" w:rsidP="00AD45E0">
            <w:pPr>
              <w:bidi w:val="0"/>
              <w:rPr>
                <w:rFonts w:ascii="Arial" w:eastAsia="Calibri" w:hAnsi="Arial" w:cs="Arial"/>
                <w:sz w:val="20"/>
                <w:szCs w:val="20"/>
              </w:rPr>
            </w:pPr>
            <w:r w:rsidRPr="00E61F70">
              <w:rPr>
                <w:rFonts w:ascii="Arial" w:eastAsia="Calibri" w:hAnsi="Arial" w:cs="Arial"/>
                <w:sz w:val="20"/>
                <w:szCs w:val="20"/>
              </w:rPr>
              <w:t>IMH code</w:t>
            </w:r>
          </w:p>
        </w:tc>
        <w:tc>
          <w:tcPr>
            <w:tcW w:w="1170" w:type="dxa"/>
          </w:tcPr>
          <w:p w:rsidR="004F4C94" w:rsidRPr="00E61F70" w:rsidRDefault="004F4C94" w:rsidP="006C3048">
            <w:pPr>
              <w:bidi w:val="0"/>
              <w:rPr>
                <w:rFonts w:ascii="Arial" w:eastAsia="Calibri" w:hAnsi="Arial" w:cs="Arial"/>
                <w:sz w:val="20"/>
                <w:szCs w:val="20"/>
              </w:rPr>
            </w:pPr>
            <w:r w:rsidRPr="00E61F70">
              <w:rPr>
                <w:rFonts w:ascii="Arial" w:eastAsia="Calibri" w:hAnsi="Arial" w:cs="Arial"/>
                <w:sz w:val="20"/>
                <w:szCs w:val="20"/>
              </w:rPr>
              <w:t>Cost per service (</w:t>
            </w:r>
            <w:r w:rsidR="006C3048">
              <w:rPr>
                <w:rFonts w:ascii="Arial" w:eastAsia="Calibri" w:hAnsi="Arial" w:cs="Arial"/>
                <w:sz w:val="20"/>
                <w:szCs w:val="20"/>
              </w:rPr>
              <w:t>NIS</w:t>
            </w:r>
            <w:r w:rsidRPr="00E61F70">
              <w:rPr>
                <w:rFonts w:ascii="Arial" w:eastAsia="Calibri" w:hAnsi="Arial" w:cs="Arial"/>
                <w:sz w:val="20"/>
                <w:szCs w:val="20"/>
              </w:rPr>
              <w:t>)</w:t>
            </w:r>
          </w:p>
        </w:tc>
        <w:tc>
          <w:tcPr>
            <w:tcW w:w="1980" w:type="dxa"/>
          </w:tcPr>
          <w:p w:rsidR="004F4C94" w:rsidRPr="00E61F70" w:rsidRDefault="004F4C94" w:rsidP="000167C7">
            <w:pPr>
              <w:bidi w:val="0"/>
              <w:rPr>
                <w:rFonts w:ascii="Arial" w:eastAsia="Calibri" w:hAnsi="Arial" w:cs="Arial"/>
                <w:sz w:val="20"/>
                <w:szCs w:val="20"/>
              </w:rPr>
            </w:pPr>
            <w:r w:rsidRPr="00E61F70">
              <w:rPr>
                <w:rFonts w:ascii="Arial" w:eastAsia="Calibri" w:hAnsi="Arial" w:cs="Arial"/>
                <w:sz w:val="20"/>
                <w:szCs w:val="20"/>
              </w:rPr>
              <w:t>Number of services assumed in the model</w:t>
            </w:r>
          </w:p>
        </w:tc>
        <w:tc>
          <w:tcPr>
            <w:tcW w:w="1170" w:type="dxa"/>
          </w:tcPr>
          <w:p w:rsidR="004F4C94" w:rsidRPr="00E61F70" w:rsidRDefault="004F4C94" w:rsidP="000167C7">
            <w:pPr>
              <w:bidi w:val="0"/>
              <w:rPr>
                <w:rFonts w:ascii="Arial" w:eastAsia="Calibri" w:hAnsi="Arial" w:cs="Arial"/>
                <w:sz w:val="20"/>
                <w:szCs w:val="20"/>
              </w:rPr>
            </w:pPr>
            <w:r w:rsidRPr="00E61F70">
              <w:rPr>
                <w:rFonts w:ascii="Arial" w:eastAsia="Calibri" w:hAnsi="Arial" w:cs="Arial"/>
                <w:sz w:val="20"/>
                <w:szCs w:val="20"/>
              </w:rPr>
              <w:t>Total cost per patient</w:t>
            </w:r>
          </w:p>
        </w:tc>
        <w:tc>
          <w:tcPr>
            <w:tcW w:w="1800" w:type="dxa"/>
          </w:tcPr>
          <w:p w:rsidR="004F4C94" w:rsidRPr="00E61F70" w:rsidRDefault="004F4C94" w:rsidP="00E62EBF">
            <w:pPr>
              <w:bidi w:val="0"/>
              <w:rPr>
                <w:rFonts w:ascii="Arial" w:eastAsia="Calibri" w:hAnsi="Arial" w:cs="Arial"/>
                <w:sz w:val="20"/>
                <w:szCs w:val="20"/>
              </w:rPr>
            </w:pPr>
            <w:r w:rsidRPr="00E61F70">
              <w:rPr>
                <w:rFonts w:ascii="Arial" w:eastAsia="Calibri" w:hAnsi="Arial" w:cs="Arial"/>
                <w:sz w:val="20"/>
                <w:szCs w:val="20"/>
              </w:rPr>
              <w:t>remarks</w:t>
            </w:r>
          </w:p>
        </w:tc>
      </w:tr>
      <w:tr w:rsidR="00E61F70" w:rsidRPr="00E61F70" w:rsidTr="006C3048">
        <w:trPr>
          <w:trHeight w:val="457"/>
        </w:trPr>
        <w:tc>
          <w:tcPr>
            <w:tcW w:w="1763" w:type="dxa"/>
          </w:tcPr>
          <w:p w:rsidR="004F4C94" w:rsidRPr="00E61F70" w:rsidRDefault="004F4C94" w:rsidP="00B611D9">
            <w:pPr>
              <w:bidi w:val="0"/>
              <w:rPr>
                <w:rFonts w:ascii="Arial" w:eastAsia="Calibri" w:hAnsi="Arial" w:cs="Arial"/>
                <w:sz w:val="20"/>
                <w:szCs w:val="20"/>
              </w:rPr>
            </w:pPr>
            <w:r w:rsidRPr="00E61F70">
              <w:rPr>
                <w:rFonts w:ascii="Arial" w:eastAsia="Calibri" w:hAnsi="Arial" w:cs="Arial"/>
                <w:sz w:val="20"/>
                <w:szCs w:val="20"/>
              </w:rPr>
              <w:t>BRCA founder mutation testing</w:t>
            </w:r>
          </w:p>
        </w:tc>
        <w:tc>
          <w:tcPr>
            <w:tcW w:w="842" w:type="dxa"/>
          </w:tcPr>
          <w:p w:rsidR="004F4C94" w:rsidRPr="00E61F70" w:rsidRDefault="004F4C94" w:rsidP="00B611D9">
            <w:pPr>
              <w:bidi w:val="0"/>
              <w:rPr>
                <w:rFonts w:ascii="Arial" w:eastAsia="Calibri" w:hAnsi="Arial" w:cs="Arial"/>
                <w:sz w:val="20"/>
                <w:szCs w:val="20"/>
              </w:rPr>
            </w:pPr>
            <w:r w:rsidRPr="00E61F70">
              <w:rPr>
                <w:rFonts w:ascii="Arial" w:eastAsia="Calibri" w:hAnsi="Arial" w:cs="Arial"/>
                <w:sz w:val="20"/>
                <w:szCs w:val="20"/>
              </w:rPr>
              <w:t>J1311</w:t>
            </w:r>
          </w:p>
        </w:tc>
        <w:tc>
          <w:tcPr>
            <w:tcW w:w="1170" w:type="dxa"/>
          </w:tcPr>
          <w:p w:rsidR="004F4C94" w:rsidRPr="00E61F70" w:rsidRDefault="004F4C94" w:rsidP="00B2603D">
            <w:pPr>
              <w:bidi w:val="0"/>
              <w:rPr>
                <w:rFonts w:ascii="Arial" w:eastAsia="Calibri" w:hAnsi="Arial" w:cs="Arial"/>
                <w:sz w:val="20"/>
                <w:szCs w:val="20"/>
              </w:rPr>
            </w:pPr>
            <w:r w:rsidRPr="00E61F70">
              <w:rPr>
                <w:rFonts w:ascii="Arial" w:eastAsia="Calibri" w:hAnsi="Arial" w:cs="Arial"/>
                <w:sz w:val="20"/>
                <w:szCs w:val="20"/>
              </w:rPr>
              <w:t>6</w:t>
            </w:r>
            <w:r w:rsidR="00B2603D">
              <w:rPr>
                <w:rFonts w:ascii="Arial" w:eastAsia="Calibri" w:hAnsi="Arial" w:cs="Arial"/>
                <w:sz w:val="20"/>
                <w:szCs w:val="20"/>
              </w:rPr>
              <w:t>3</w:t>
            </w:r>
            <w:r w:rsidRPr="00E61F70">
              <w:rPr>
                <w:rFonts w:ascii="Arial" w:eastAsia="Calibri" w:hAnsi="Arial" w:cs="Arial" w:hint="cs"/>
                <w:sz w:val="20"/>
                <w:szCs w:val="20"/>
                <w:rtl/>
              </w:rPr>
              <w:t>2</w:t>
            </w:r>
          </w:p>
        </w:tc>
        <w:tc>
          <w:tcPr>
            <w:tcW w:w="1980" w:type="dxa"/>
          </w:tcPr>
          <w:p w:rsidR="004F4C94" w:rsidRPr="00E61F70" w:rsidRDefault="004F4C94" w:rsidP="00B611D9">
            <w:pPr>
              <w:bidi w:val="0"/>
              <w:rPr>
                <w:rFonts w:ascii="Arial" w:eastAsia="Calibri" w:hAnsi="Arial" w:cs="Arial"/>
                <w:sz w:val="20"/>
                <w:szCs w:val="20"/>
              </w:rPr>
            </w:pPr>
            <w:r w:rsidRPr="00E61F70">
              <w:rPr>
                <w:rFonts w:ascii="Arial" w:eastAsia="Calibri" w:hAnsi="Arial" w:cs="Arial"/>
                <w:sz w:val="20"/>
                <w:szCs w:val="20"/>
              </w:rPr>
              <w:t>1</w:t>
            </w:r>
          </w:p>
        </w:tc>
        <w:tc>
          <w:tcPr>
            <w:tcW w:w="1170" w:type="dxa"/>
          </w:tcPr>
          <w:p w:rsidR="004F4C94" w:rsidRPr="00E61F70" w:rsidRDefault="004F4C94" w:rsidP="00B2603D">
            <w:pPr>
              <w:bidi w:val="0"/>
              <w:rPr>
                <w:rFonts w:ascii="Arial" w:eastAsia="Calibri" w:hAnsi="Arial" w:cs="Arial"/>
                <w:sz w:val="20"/>
                <w:szCs w:val="20"/>
              </w:rPr>
            </w:pPr>
            <w:r w:rsidRPr="00E61F70">
              <w:rPr>
                <w:rFonts w:ascii="Arial" w:eastAsia="Calibri" w:hAnsi="Arial" w:cs="Arial"/>
                <w:sz w:val="20"/>
                <w:szCs w:val="20"/>
              </w:rPr>
              <w:t>6</w:t>
            </w:r>
            <w:r w:rsidR="00B2603D">
              <w:rPr>
                <w:rFonts w:ascii="Arial" w:eastAsia="Calibri" w:hAnsi="Arial" w:cs="Arial"/>
                <w:sz w:val="20"/>
                <w:szCs w:val="20"/>
              </w:rPr>
              <w:t>32</w:t>
            </w:r>
          </w:p>
        </w:tc>
        <w:tc>
          <w:tcPr>
            <w:tcW w:w="1800" w:type="dxa"/>
          </w:tcPr>
          <w:p w:rsidR="004F4C94" w:rsidRPr="00E61F70" w:rsidRDefault="00E62EBF" w:rsidP="00E4511C">
            <w:pPr>
              <w:bidi w:val="0"/>
              <w:rPr>
                <w:rFonts w:ascii="Arial" w:eastAsia="Calibri" w:hAnsi="Arial" w:cs="Arial"/>
                <w:sz w:val="20"/>
                <w:szCs w:val="20"/>
              </w:rPr>
            </w:pPr>
            <w:r w:rsidRPr="00E61F70">
              <w:rPr>
                <w:rFonts w:asciiTheme="minorBidi" w:hAnsiTheme="minorBidi"/>
                <w:color w:val="000000" w:themeColor="text1"/>
                <w:sz w:val="20"/>
                <w:szCs w:val="20"/>
              </w:rPr>
              <w:t>IMH</w:t>
            </w:r>
            <w:r w:rsidR="005A6290" w:rsidRPr="00E61F70">
              <w:rPr>
                <w:rFonts w:asciiTheme="minorBidi" w:hAnsiTheme="minorBidi"/>
                <w:color w:val="000000" w:themeColor="text1"/>
                <w:sz w:val="20"/>
                <w:szCs w:val="20"/>
              </w:rPr>
              <w:t xml:space="preserve"> pricing list</w:t>
            </w:r>
          </w:p>
        </w:tc>
      </w:tr>
      <w:tr w:rsidR="00E61F70" w:rsidRPr="00E61F70" w:rsidTr="006C3048">
        <w:trPr>
          <w:trHeight w:val="465"/>
        </w:trPr>
        <w:tc>
          <w:tcPr>
            <w:tcW w:w="1763" w:type="dxa"/>
          </w:tcPr>
          <w:p w:rsidR="004F4C94" w:rsidRPr="00E61F70" w:rsidRDefault="004F4C94" w:rsidP="00B611D9">
            <w:pPr>
              <w:bidi w:val="0"/>
              <w:rPr>
                <w:rFonts w:ascii="Arial" w:eastAsia="Calibri" w:hAnsi="Arial" w:cs="Arial"/>
                <w:sz w:val="20"/>
                <w:szCs w:val="20"/>
                <w:rtl/>
              </w:rPr>
            </w:pPr>
            <w:r w:rsidRPr="00E61F70">
              <w:rPr>
                <w:rFonts w:ascii="Arial" w:eastAsia="Calibri" w:hAnsi="Arial" w:cs="Arial"/>
                <w:sz w:val="20"/>
                <w:szCs w:val="20"/>
              </w:rPr>
              <w:t>CT scan</w:t>
            </w:r>
          </w:p>
        </w:tc>
        <w:tc>
          <w:tcPr>
            <w:tcW w:w="842" w:type="dxa"/>
          </w:tcPr>
          <w:p w:rsidR="004F4C94" w:rsidRPr="00E61F70" w:rsidRDefault="004F4C94" w:rsidP="00B611D9">
            <w:pPr>
              <w:bidi w:val="0"/>
              <w:rPr>
                <w:rFonts w:ascii="Arial" w:eastAsia="Calibri" w:hAnsi="Arial" w:cs="Arial"/>
                <w:sz w:val="20"/>
                <w:szCs w:val="20"/>
              </w:rPr>
            </w:pPr>
            <w:r w:rsidRPr="00E61F70">
              <w:rPr>
                <w:rFonts w:ascii="Arial" w:eastAsia="Calibri" w:hAnsi="Arial" w:cs="Arial"/>
                <w:sz w:val="20"/>
                <w:szCs w:val="20"/>
              </w:rPr>
              <w:t>L1039</w:t>
            </w:r>
          </w:p>
        </w:tc>
        <w:tc>
          <w:tcPr>
            <w:tcW w:w="1170" w:type="dxa"/>
          </w:tcPr>
          <w:p w:rsidR="004F4C94" w:rsidRPr="00E61F70" w:rsidRDefault="00B2603D" w:rsidP="00B611D9">
            <w:pPr>
              <w:bidi w:val="0"/>
              <w:rPr>
                <w:rFonts w:ascii="Arial" w:eastAsia="Calibri" w:hAnsi="Arial" w:cs="Arial"/>
                <w:sz w:val="20"/>
                <w:szCs w:val="20"/>
                <w:rtl/>
              </w:rPr>
            </w:pPr>
            <w:r>
              <w:rPr>
                <w:rFonts w:ascii="Arial" w:eastAsia="Calibri" w:hAnsi="Arial" w:cs="Arial"/>
                <w:sz w:val="20"/>
                <w:szCs w:val="20"/>
              </w:rPr>
              <w:t>711</w:t>
            </w:r>
          </w:p>
        </w:tc>
        <w:tc>
          <w:tcPr>
            <w:tcW w:w="1980" w:type="dxa"/>
          </w:tcPr>
          <w:p w:rsidR="004F4C94" w:rsidRPr="00E61F70" w:rsidRDefault="00B2603D" w:rsidP="00B611D9">
            <w:pPr>
              <w:bidi w:val="0"/>
              <w:rPr>
                <w:rFonts w:ascii="Arial" w:eastAsia="Calibri" w:hAnsi="Arial" w:cs="Arial"/>
                <w:sz w:val="20"/>
                <w:szCs w:val="20"/>
              </w:rPr>
            </w:pPr>
            <w:r>
              <w:rPr>
                <w:rFonts w:ascii="Arial" w:eastAsia="Calibri" w:hAnsi="Arial" w:cs="Arial"/>
                <w:sz w:val="20"/>
                <w:szCs w:val="20"/>
              </w:rPr>
              <w:t>5</w:t>
            </w:r>
          </w:p>
        </w:tc>
        <w:tc>
          <w:tcPr>
            <w:tcW w:w="1170" w:type="dxa"/>
          </w:tcPr>
          <w:p w:rsidR="004F4C94" w:rsidRPr="00E61F70" w:rsidRDefault="00B2603D" w:rsidP="00B611D9">
            <w:pPr>
              <w:bidi w:val="0"/>
              <w:rPr>
                <w:rFonts w:ascii="Arial" w:eastAsia="Calibri" w:hAnsi="Arial" w:cs="Arial"/>
                <w:sz w:val="20"/>
                <w:szCs w:val="20"/>
                <w:rtl/>
              </w:rPr>
            </w:pPr>
            <w:r>
              <w:rPr>
                <w:rFonts w:ascii="Arial" w:eastAsia="Calibri" w:hAnsi="Arial" w:cs="Arial"/>
                <w:sz w:val="20"/>
                <w:szCs w:val="20"/>
              </w:rPr>
              <w:t>3,555</w:t>
            </w:r>
          </w:p>
        </w:tc>
        <w:tc>
          <w:tcPr>
            <w:tcW w:w="1800" w:type="dxa"/>
          </w:tcPr>
          <w:p w:rsidR="004F4C94" w:rsidRPr="00E61F70" w:rsidRDefault="00E62EBF" w:rsidP="00E4511C">
            <w:pPr>
              <w:bidi w:val="0"/>
              <w:rPr>
                <w:rFonts w:ascii="Arial" w:eastAsia="Calibri" w:hAnsi="Arial" w:cs="Arial"/>
                <w:sz w:val="20"/>
                <w:szCs w:val="20"/>
              </w:rPr>
            </w:pPr>
            <w:r w:rsidRPr="00E61F70">
              <w:rPr>
                <w:rFonts w:asciiTheme="minorBidi" w:hAnsiTheme="minorBidi"/>
                <w:color w:val="000000" w:themeColor="text1"/>
                <w:sz w:val="20"/>
                <w:szCs w:val="20"/>
              </w:rPr>
              <w:t>IMH</w:t>
            </w:r>
            <w:r w:rsidR="005A6290" w:rsidRPr="00E61F70">
              <w:rPr>
                <w:rFonts w:asciiTheme="minorBidi" w:hAnsiTheme="minorBidi"/>
                <w:color w:val="000000" w:themeColor="text1"/>
                <w:sz w:val="20"/>
                <w:szCs w:val="20"/>
              </w:rPr>
              <w:t xml:space="preserve"> pricing list</w:t>
            </w:r>
          </w:p>
        </w:tc>
      </w:tr>
      <w:tr w:rsidR="00E61F70" w:rsidRPr="00E61F70" w:rsidTr="006C3048">
        <w:trPr>
          <w:trHeight w:val="457"/>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Pathology examination</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88305</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sz w:val="20"/>
                <w:szCs w:val="20"/>
              </w:rPr>
              <w:t>2</w:t>
            </w:r>
            <w:r w:rsidR="00B2603D">
              <w:rPr>
                <w:rFonts w:ascii="Arial" w:eastAsia="Calibri" w:hAnsi="Arial" w:cs="Arial" w:hint="cs"/>
                <w:sz w:val="20"/>
                <w:szCs w:val="20"/>
                <w:rtl/>
              </w:rPr>
              <w:t>17</w:t>
            </w:r>
          </w:p>
        </w:tc>
        <w:tc>
          <w:tcPr>
            <w:tcW w:w="198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1</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sz w:val="20"/>
                <w:szCs w:val="20"/>
              </w:rPr>
              <w:t>2</w:t>
            </w:r>
            <w:r w:rsidR="00B2603D">
              <w:rPr>
                <w:rFonts w:ascii="Arial" w:eastAsia="Calibri" w:hAnsi="Arial" w:cs="Arial" w:hint="cs"/>
                <w:sz w:val="20"/>
                <w:szCs w:val="20"/>
                <w:rtl/>
              </w:rPr>
              <w:t>1</w:t>
            </w:r>
            <w:r w:rsidRPr="00E61F70">
              <w:rPr>
                <w:rFonts w:ascii="Arial" w:eastAsia="Calibri" w:hAnsi="Arial" w:cs="Arial"/>
                <w:sz w:val="20"/>
                <w:szCs w:val="20"/>
              </w:rPr>
              <w:t>7</w:t>
            </w:r>
          </w:p>
        </w:tc>
        <w:tc>
          <w:tcPr>
            <w:tcW w:w="1800" w:type="dxa"/>
          </w:tcPr>
          <w:p w:rsidR="00E62EBF" w:rsidRPr="00E61F70" w:rsidRDefault="00E62EBF" w:rsidP="00E4511C">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57"/>
        </w:trPr>
        <w:tc>
          <w:tcPr>
            <w:tcW w:w="1763" w:type="dxa"/>
          </w:tcPr>
          <w:p w:rsidR="00E62EBF" w:rsidRPr="00E61F70" w:rsidRDefault="00E62EBF" w:rsidP="00E62EBF">
            <w:pPr>
              <w:bidi w:val="0"/>
              <w:rPr>
                <w:rFonts w:ascii="Arial" w:eastAsia="Calibri" w:hAnsi="Arial" w:cs="Arial"/>
                <w:sz w:val="20"/>
                <w:szCs w:val="20"/>
              </w:rPr>
            </w:pPr>
            <w:proofErr w:type="spellStart"/>
            <w:r w:rsidRPr="00E61F70">
              <w:rPr>
                <w:rFonts w:ascii="Arial" w:eastAsia="Calibri" w:hAnsi="Arial" w:cs="Arial"/>
                <w:sz w:val="20"/>
                <w:szCs w:val="20"/>
              </w:rPr>
              <w:t>Immunohystochemistry</w:t>
            </w:r>
            <w:proofErr w:type="spellEnd"/>
            <w:r w:rsidRPr="00E61F70">
              <w:rPr>
                <w:rFonts w:ascii="Arial" w:eastAsia="Calibri" w:hAnsi="Arial" w:cs="Arial"/>
                <w:sz w:val="20"/>
                <w:szCs w:val="20"/>
              </w:rPr>
              <w:t xml:space="preserve"> staining</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L0564</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hint="cs"/>
                <w:sz w:val="20"/>
                <w:szCs w:val="20"/>
                <w:rtl/>
              </w:rPr>
              <w:t>2,0</w:t>
            </w:r>
            <w:r w:rsidR="00B2603D">
              <w:rPr>
                <w:rFonts w:ascii="Arial" w:eastAsia="Calibri" w:hAnsi="Arial" w:cs="Arial" w:hint="cs"/>
                <w:sz w:val="20"/>
                <w:szCs w:val="20"/>
                <w:rtl/>
              </w:rPr>
              <w:t>70</w:t>
            </w:r>
          </w:p>
        </w:tc>
        <w:tc>
          <w:tcPr>
            <w:tcW w:w="198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1</w:t>
            </w:r>
          </w:p>
        </w:tc>
        <w:tc>
          <w:tcPr>
            <w:tcW w:w="1170" w:type="dxa"/>
          </w:tcPr>
          <w:p w:rsidR="00E62EBF" w:rsidRPr="00E61F70" w:rsidRDefault="00B2603D" w:rsidP="00E62EBF">
            <w:pPr>
              <w:bidi w:val="0"/>
              <w:rPr>
                <w:rFonts w:ascii="Arial" w:eastAsia="Calibri" w:hAnsi="Arial" w:cs="Arial"/>
                <w:sz w:val="20"/>
                <w:szCs w:val="20"/>
              </w:rPr>
            </w:pPr>
            <w:r>
              <w:rPr>
                <w:rFonts w:ascii="Arial" w:eastAsia="Calibri" w:hAnsi="Arial" w:cs="Arial" w:hint="cs"/>
                <w:sz w:val="20"/>
                <w:szCs w:val="20"/>
                <w:rtl/>
              </w:rPr>
              <w:t>2,070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65"/>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CT guided biopsy</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77012</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sz w:val="20"/>
                <w:szCs w:val="20"/>
              </w:rPr>
              <w:t>5,</w:t>
            </w:r>
            <w:r w:rsidRPr="00E61F70">
              <w:rPr>
                <w:rFonts w:ascii="Arial" w:eastAsia="Calibri" w:hAnsi="Arial" w:cs="Arial" w:hint="cs"/>
                <w:sz w:val="20"/>
                <w:szCs w:val="20"/>
                <w:rtl/>
              </w:rPr>
              <w:t>6</w:t>
            </w:r>
            <w:r w:rsidR="00B2603D">
              <w:rPr>
                <w:rFonts w:ascii="Arial" w:eastAsia="Calibri" w:hAnsi="Arial" w:cs="Arial" w:hint="cs"/>
                <w:sz w:val="20"/>
                <w:szCs w:val="20"/>
                <w:rtl/>
              </w:rPr>
              <w:t>99</w:t>
            </w:r>
          </w:p>
        </w:tc>
        <w:tc>
          <w:tcPr>
            <w:tcW w:w="1980" w:type="dxa"/>
          </w:tcPr>
          <w:p w:rsidR="00E62EBF" w:rsidRPr="00E61F70" w:rsidRDefault="00B2603D" w:rsidP="00E62EBF">
            <w:pPr>
              <w:bidi w:val="0"/>
              <w:rPr>
                <w:rFonts w:ascii="Arial" w:eastAsia="Calibri" w:hAnsi="Arial" w:cs="Arial"/>
                <w:sz w:val="20"/>
                <w:szCs w:val="20"/>
              </w:rPr>
            </w:pPr>
            <w:r>
              <w:rPr>
                <w:rFonts w:ascii="Arial" w:eastAsia="Calibri" w:hAnsi="Arial" w:cs="Arial"/>
                <w:sz w:val="20"/>
                <w:szCs w:val="20"/>
              </w:rPr>
              <w:t>For 70% of patients</w:t>
            </w:r>
          </w:p>
        </w:tc>
        <w:tc>
          <w:tcPr>
            <w:tcW w:w="1170" w:type="dxa"/>
          </w:tcPr>
          <w:p w:rsidR="00E62EBF" w:rsidRPr="00E61F70" w:rsidRDefault="00B2603D" w:rsidP="00B2603D">
            <w:pPr>
              <w:bidi w:val="0"/>
              <w:rPr>
                <w:rFonts w:ascii="Arial" w:eastAsia="Calibri" w:hAnsi="Arial" w:cs="Arial"/>
                <w:sz w:val="20"/>
                <w:szCs w:val="20"/>
              </w:rPr>
            </w:pPr>
            <w:r>
              <w:rPr>
                <w:rFonts w:ascii="Arial" w:eastAsia="Calibri" w:hAnsi="Arial" w:cs="Arial"/>
                <w:sz w:val="20"/>
                <w:szCs w:val="20"/>
              </w:rPr>
              <w:t>3,989</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57"/>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Oncology clinic check up</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L9244</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hint="cs"/>
                <w:sz w:val="20"/>
                <w:szCs w:val="20"/>
                <w:rtl/>
              </w:rPr>
              <w:t>1</w:t>
            </w:r>
            <w:r w:rsidRPr="00E61F70">
              <w:rPr>
                <w:rFonts w:ascii="Arial" w:eastAsia="Calibri" w:hAnsi="Arial" w:cs="Arial"/>
                <w:sz w:val="20"/>
                <w:szCs w:val="20"/>
              </w:rPr>
              <w:t>5</w:t>
            </w:r>
            <w:r w:rsidR="00B2603D">
              <w:rPr>
                <w:rFonts w:ascii="Arial" w:eastAsia="Calibri" w:hAnsi="Arial" w:cs="Arial"/>
                <w:sz w:val="20"/>
                <w:szCs w:val="20"/>
              </w:rPr>
              <w:t>3</w:t>
            </w:r>
          </w:p>
        </w:tc>
        <w:tc>
          <w:tcPr>
            <w:tcW w:w="1980" w:type="dxa"/>
          </w:tcPr>
          <w:p w:rsidR="00E62EBF" w:rsidRPr="00E61F70" w:rsidRDefault="00B2603D" w:rsidP="00E62EBF">
            <w:pPr>
              <w:bidi w:val="0"/>
              <w:rPr>
                <w:rFonts w:ascii="Arial" w:eastAsia="Calibri" w:hAnsi="Arial" w:cs="Arial"/>
                <w:sz w:val="20"/>
                <w:szCs w:val="20"/>
              </w:rPr>
            </w:pPr>
            <w:r>
              <w:rPr>
                <w:rFonts w:ascii="Arial" w:eastAsia="Calibri" w:hAnsi="Arial" w:cs="Arial"/>
                <w:sz w:val="20"/>
                <w:szCs w:val="20"/>
              </w:rPr>
              <w:t>10</w:t>
            </w:r>
          </w:p>
        </w:tc>
        <w:tc>
          <w:tcPr>
            <w:tcW w:w="1170" w:type="dxa"/>
          </w:tcPr>
          <w:p w:rsidR="00E62EBF" w:rsidRPr="00E61F70" w:rsidRDefault="00B2603D" w:rsidP="00E62EBF">
            <w:pPr>
              <w:bidi w:val="0"/>
              <w:rPr>
                <w:rFonts w:ascii="Arial" w:eastAsia="Calibri" w:hAnsi="Arial" w:cs="Arial"/>
                <w:sz w:val="20"/>
                <w:szCs w:val="20"/>
              </w:rPr>
            </w:pPr>
            <w:r>
              <w:rPr>
                <w:rFonts w:ascii="Arial" w:eastAsia="Calibri" w:hAnsi="Arial" w:cs="Arial"/>
                <w:sz w:val="20"/>
                <w:szCs w:val="20"/>
              </w:rPr>
              <w:t>1530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65"/>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Gynecology clinic check up</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L9255</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hint="cs"/>
                <w:sz w:val="20"/>
                <w:szCs w:val="20"/>
                <w:rtl/>
              </w:rPr>
              <w:t>1</w:t>
            </w:r>
            <w:r w:rsidRPr="00E61F70">
              <w:rPr>
                <w:rFonts w:ascii="Arial" w:eastAsia="Calibri" w:hAnsi="Arial" w:cs="Arial"/>
                <w:sz w:val="20"/>
                <w:szCs w:val="20"/>
              </w:rPr>
              <w:t>5</w:t>
            </w:r>
            <w:r w:rsidR="00B2603D">
              <w:rPr>
                <w:rFonts w:ascii="Arial" w:eastAsia="Calibri" w:hAnsi="Arial" w:cs="Arial"/>
                <w:sz w:val="20"/>
                <w:szCs w:val="20"/>
              </w:rPr>
              <w:t>3</w:t>
            </w:r>
          </w:p>
        </w:tc>
        <w:tc>
          <w:tcPr>
            <w:tcW w:w="1980" w:type="dxa"/>
          </w:tcPr>
          <w:p w:rsidR="00E62EBF" w:rsidRPr="00E61F70" w:rsidRDefault="00B2603D" w:rsidP="00E62EBF">
            <w:pPr>
              <w:bidi w:val="0"/>
              <w:rPr>
                <w:rFonts w:ascii="Arial" w:eastAsia="Calibri" w:hAnsi="Arial" w:cs="Arial"/>
                <w:sz w:val="20"/>
                <w:szCs w:val="20"/>
              </w:rPr>
            </w:pPr>
            <w:r>
              <w:rPr>
                <w:rFonts w:ascii="Arial" w:eastAsia="Calibri" w:hAnsi="Arial" w:cs="Arial"/>
                <w:sz w:val="20"/>
                <w:szCs w:val="20"/>
              </w:rPr>
              <w:t>10</w:t>
            </w:r>
          </w:p>
        </w:tc>
        <w:tc>
          <w:tcPr>
            <w:tcW w:w="1170" w:type="dxa"/>
          </w:tcPr>
          <w:p w:rsidR="00E62EBF" w:rsidRPr="00E61F70" w:rsidRDefault="00B2603D" w:rsidP="00E62EBF">
            <w:pPr>
              <w:bidi w:val="0"/>
              <w:rPr>
                <w:rFonts w:ascii="Arial" w:eastAsia="Calibri" w:hAnsi="Arial" w:cs="Arial"/>
                <w:sz w:val="20"/>
                <w:szCs w:val="20"/>
              </w:rPr>
            </w:pPr>
            <w:r>
              <w:rPr>
                <w:rFonts w:ascii="Arial" w:eastAsia="Calibri" w:hAnsi="Arial" w:cs="Arial"/>
                <w:sz w:val="20"/>
                <w:szCs w:val="20"/>
              </w:rPr>
              <w:t>1530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57"/>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Serum CA-125 levels</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86304</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sz w:val="20"/>
                <w:szCs w:val="20"/>
              </w:rPr>
              <w:t>4</w:t>
            </w:r>
            <w:r w:rsidR="00B2603D">
              <w:rPr>
                <w:rFonts w:ascii="Arial" w:eastAsia="Calibri" w:hAnsi="Arial" w:cs="Arial"/>
                <w:sz w:val="20"/>
                <w:szCs w:val="20"/>
              </w:rPr>
              <w:t>8</w:t>
            </w:r>
          </w:p>
        </w:tc>
        <w:tc>
          <w:tcPr>
            <w:tcW w:w="1980" w:type="dxa"/>
          </w:tcPr>
          <w:p w:rsidR="00E62EBF" w:rsidRPr="00E61F70" w:rsidRDefault="00B2603D" w:rsidP="00E62EBF">
            <w:pPr>
              <w:bidi w:val="0"/>
              <w:rPr>
                <w:rFonts w:ascii="Arial" w:eastAsia="Calibri" w:hAnsi="Arial" w:cs="Arial"/>
                <w:sz w:val="20"/>
                <w:szCs w:val="20"/>
              </w:rPr>
            </w:pPr>
            <w:r>
              <w:rPr>
                <w:rFonts w:ascii="Arial" w:eastAsia="Calibri" w:hAnsi="Arial" w:cs="Arial"/>
                <w:sz w:val="20"/>
                <w:szCs w:val="20"/>
              </w:rPr>
              <w:t>10</w:t>
            </w:r>
          </w:p>
        </w:tc>
        <w:tc>
          <w:tcPr>
            <w:tcW w:w="1170" w:type="dxa"/>
          </w:tcPr>
          <w:p w:rsidR="00E62EBF" w:rsidRPr="00E61F70" w:rsidRDefault="00B2603D" w:rsidP="00E62EBF">
            <w:pPr>
              <w:bidi w:val="0"/>
              <w:rPr>
                <w:rFonts w:ascii="Arial" w:eastAsia="Calibri" w:hAnsi="Arial" w:cs="Arial"/>
                <w:sz w:val="20"/>
                <w:szCs w:val="20"/>
              </w:rPr>
            </w:pPr>
            <w:r>
              <w:rPr>
                <w:rFonts w:ascii="Arial" w:eastAsia="Calibri" w:hAnsi="Arial" w:cs="Arial"/>
                <w:sz w:val="20"/>
                <w:szCs w:val="20"/>
              </w:rPr>
              <w:t>480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65"/>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Preoperative  checkup</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99223</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hint="cs"/>
                <w:sz w:val="20"/>
                <w:szCs w:val="20"/>
                <w:rtl/>
              </w:rPr>
              <w:t>9</w:t>
            </w:r>
            <w:r w:rsidR="00B2603D">
              <w:rPr>
                <w:rFonts w:ascii="Arial" w:eastAsia="Calibri" w:hAnsi="Arial" w:cs="Arial"/>
                <w:sz w:val="20"/>
                <w:szCs w:val="20"/>
              </w:rPr>
              <w:t>87</w:t>
            </w:r>
          </w:p>
        </w:tc>
        <w:tc>
          <w:tcPr>
            <w:tcW w:w="198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hint="cs"/>
                <w:sz w:val="20"/>
                <w:szCs w:val="20"/>
                <w:rtl/>
              </w:rPr>
              <w:t>1</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hint="cs"/>
                <w:sz w:val="20"/>
                <w:szCs w:val="20"/>
                <w:rtl/>
              </w:rPr>
              <w:t>9</w:t>
            </w:r>
            <w:r w:rsidR="00B2603D">
              <w:rPr>
                <w:rFonts w:ascii="Arial" w:eastAsia="Calibri" w:hAnsi="Arial" w:cs="Arial"/>
                <w:sz w:val="20"/>
                <w:szCs w:val="20"/>
              </w:rPr>
              <w:t>87</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690"/>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Hospital admission</w:t>
            </w:r>
            <w:r w:rsidR="003B6507">
              <w:rPr>
                <w:rFonts w:ascii="Arial" w:eastAsia="Calibri" w:hAnsi="Arial" w:cs="Arial"/>
                <w:sz w:val="20"/>
                <w:szCs w:val="20"/>
              </w:rPr>
              <w:t xml:space="preserve"> per day:</w:t>
            </w:r>
            <w:r w:rsidRPr="00E61F70">
              <w:rPr>
                <w:rFonts w:ascii="Arial" w:eastAsia="Calibri" w:hAnsi="Arial" w:cs="Arial"/>
                <w:sz w:val="20"/>
                <w:szCs w:val="20"/>
              </w:rPr>
              <w:t xml:space="preserve"> 1</w:t>
            </w:r>
            <w:r w:rsidRPr="00E61F70">
              <w:rPr>
                <w:rFonts w:ascii="Arial" w:eastAsia="Calibri" w:hAnsi="Arial" w:cs="Arial"/>
                <w:sz w:val="20"/>
                <w:szCs w:val="20"/>
                <w:vertAlign w:val="superscript"/>
              </w:rPr>
              <w:t>st</w:t>
            </w:r>
            <w:r w:rsidRPr="00E61F70">
              <w:rPr>
                <w:rFonts w:ascii="Arial" w:eastAsia="Calibri" w:hAnsi="Arial" w:cs="Arial"/>
                <w:sz w:val="20"/>
                <w:szCs w:val="20"/>
              </w:rPr>
              <w:t xml:space="preserve"> 3 days</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G00H2</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sz w:val="20"/>
                <w:szCs w:val="20"/>
              </w:rPr>
              <w:t>3</w:t>
            </w:r>
            <w:r w:rsidR="00B2603D">
              <w:rPr>
                <w:rFonts w:ascii="Arial" w:eastAsia="Calibri" w:hAnsi="Arial" w:cs="Arial"/>
                <w:sz w:val="20"/>
                <w:szCs w:val="20"/>
              </w:rPr>
              <w:t>,</w:t>
            </w:r>
            <w:r w:rsidRPr="00E61F70">
              <w:rPr>
                <w:rFonts w:ascii="Arial" w:eastAsia="Calibri" w:hAnsi="Arial" w:cs="Arial" w:hint="cs"/>
                <w:sz w:val="20"/>
                <w:szCs w:val="20"/>
                <w:rtl/>
              </w:rPr>
              <w:t>2</w:t>
            </w:r>
            <w:r w:rsidR="00B2603D">
              <w:rPr>
                <w:rFonts w:ascii="Arial" w:eastAsia="Calibri" w:hAnsi="Arial" w:cs="Arial" w:hint="cs"/>
                <w:sz w:val="20"/>
                <w:szCs w:val="20"/>
                <w:rtl/>
              </w:rPr>
              <w:t>7</w:t>
            </w:r>
            <w:r w:rsidRPr="00E61F70">
              <w:rPr>
                <w:rFonts w:ascii="Arial" w:eastAsia="Calibri" w:hAnsi="Arial" w:cs="Arial" w:hint="cs"/>
                <w:sz w:val="20"/>
                <w:szCs w:val="20"/>
                <w:rtl/>
              </w:rPr>
              <w:t>1</w:t>
            </w:r>
          </w:p>
        </w:tc>
        <w:tc>
          <w:tcPr>
            <w:tcW w:w="1980" w:type="dxa"/>
          </w:tcPr>
          <w:p w:rsidR="00E62EBF" w:rsidRPr="00E61F70" w:rsidRDefault="00436E04" w:rsidP="00E62EBF">
            <w:pPr>
              <w:bidi w:val="0"/>
              <w:rPr>
                <w:rFonts w:ascii="Arial" w:eastAsia="Calibri" w:hAnsi="Arial" w:cs="Arial"/>
                <w:sz w:val="20"/>
                <w:szCs w:val="20"/>
              </w:rPr>
            </w:pPr>
            <w:r>
              <w:rPr>
                <w:rFonts w:ascii="Arial" w:eastAsia="Calibri" w:hAnsi="Arial" w:cs="Arial"/>
                <w:sz w:val="20"/>
                <w:szCs w:val="20"/>
              </w:rPr>
              <w:t>15</w:t>
            </w:r>
          </w:p>
        </w:tc>
        <w:tc>
          <w:tcPr>
            <w:tcW w:w="1170" w:type="dxa"/>
          </w:tcPr>
          <w:p w:rsidR="00E62EBF" w:rsidRPr="00E61F70" w:rsidRDefault="00436E04" w:rsidP="00E62EBF">
            <w:pPr>
              <w:bidi w:val="0"/>
              <w:rPr>
                <w:rFonts w:ascii="Arial" w:eastAsia="Calibri" w:hAnsi="Arial" w:cs="Arial"/>
                <w:sz w:val="20"/>
                <w:szCs w:val="20"/>
              </w:rPr>
            </w:pPr>
            <w:r>
              <w:rPr>
                <w:rFonts w:ascii="Arial" w:eastAsia="Calibri" w:hAnsi="Arial" w:cs="Arial"/>
                <w:sz w:val="20"/>
                <w:szCs w:val="20"/>
              </w:rPr>
              <w:t>49,065</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690"/>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Hospital admission</w:t>
            </w:r>
            <w:r w:rsidR="003B6507">
              <w:rPr>
                <w:rFonts w:ascii="Arial" w:eastAsia="Calibri" w:hAnsi="Arial" w:cs="Arial"/>
                <w:sz w:val="20"/>
                <w:szCs w:val="20"/>
              </w:rPr>
              <w:t xml:space="preserve"> per day</w:t>
            </w:r>
            <w:r w:rsidRPr="00E61F70">
              <w:rPr>
                <w:rFonts w:ascii="Arial" w:eastAsia="Calibri" w:hAnsi="Arial" w:cs="Arial"/>
                <w:sz w:val="20"/>
                <w:szCs w:val="20"/>
              </w:rPr>
              <w:t xml:space="preserve"> 4</w:t>
            </w:r>
            <w:r w:rsidRPr="00E61F70">
              <w:rPr>
                <w:rFonts w:ascii="Arial" w:eastAsia="Calibri" w:hAnsi="Arial" w:cs="Arial"/>
                <w:sz w:val="20"/>
                <w:szCs w:val="20"/>
                <w:vertAlign w:val="superscript"/>
              </w:rPr>
              <w:t>th</w:t>
            </w:r>
            <w:r w:rsidRPr="00E61F70">
              <w:rPr>
                <w:rFonts w:ascii="Arial" w:eastAsia="Calibri" w:hAnsi="Arial" w:cs="Arial"/>
                <w:sz w:val="20"/>
                <w:szCs w:val="20"/>
              </w:rPr>
              <w:t xml:space="preserve"> day on</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G00H4</w:t>
            </w:r>
          </w:p>
        </w:tc>
        <w:tc>
          <w:tcPr>
            <w:tcW w:w="1170" w:type="dxa"/>
          </w:tcPr>
          <w:p w:rsidR="00E62EBF" w:rsidRPr="00E61F70" w:rsidRDefault="00E62EBF" w:rsidP="00B2603D">
            <w:pPr>
              <w:bidi w:val="0"/>
              <w:rPr>
                <w:rFonts w:ascii="Arial" w:eastAsia="Calibri" w:hAnsi="Arial" w:cs="Arial"/>
                <w:sz w:val="20"/>
                <w:szCs w:val="20"/>
              </w:rPr>
            </w:pPr>
            <w:r w:rsidRPr="00E61F70">
              <w:rPr>
                <w:rFonts w:ascii="Arial" w:eastAsia="Calibri" w:hAnsi="Arial" w:cs="Arial"/>
                <w:sz w:val="20"/>
                <w:szCs w:val="20"/>
              </w:rPr>
              <w:t>2,</w:t>
            </w:r>
            <w:r w:rsidR="00B2603D">
              <w:rPr>
                <w:rFonts w:ascii="Arial" w:eastAsia="Calibri" w:hAnsi="Arial" w:cs="Arial"/>
                <w:sz w:val="20"/>
                <w:szCs w:val="20"/>
              </w:rPr>
              <w:t>844</w:t>
            </w:r>
            <w:r w:rsidRPr="00E61F70">
              <w:rPr>
                <w:rFonts w:ascii="Arial" w:eastAsia="Calibri" w:hAnsi="Arial" w:cs="Arial"/>
                <w:sz w:val="20"/>
                <w:szCs w:val="20"/>
              </w:rPr>
              <w:t xml:space="preserve"> </w:t>
            </w:r>
          </w:p>
        </w:tc>
        <w:tc>
          <w:tcPr>
            <w:tcW w:w="1980" w:type="dxa"/>
          </w:tcPr>
          <w:p w:rsidR="00E62EBF" w:rsidRPr="00E61F70" w:rsidRDefault="00436E04" w:rsidP="00E62EBF">
            <w:pPr>
              <w:bidi w:val="0"/>
              <w:rPr>
                <w:rFonts w:ascii="Arial" w:eastAsia="Calibri" w:hAnsi="Arial" w:cs="Arial"/>
                <w:sz w:val="20"/>
                <w:szCs w:val="20"/>
              </w:rPr>
            </w:pPr>
            <w:r>
              <w:rPr>
                <w:rFonts w:ascii="Arial" w:eastAsia="Calibri" w:hAnsi="Arial" w:cs="Arial"/>
                <w:sz w:val="20"/>
                <w:szCs w:val="20"/>
              </w:rPr>
              <w:t>20</w:t>
            </w:r>
          </w:p>
        </w:tc>
        <w:tc>
          <w:tcPr>
            <w:tcW w:w="1170" w:type="dxa"/>
          </w:tcPr>
          <w:p w:rsidR="00E62EBF" w:rsidRPr="00E61F70" w:rsidRDefault="00436E04" w:rsidP="00E62EBF">
            <w:pPr>
              <w:bidi w:val="0"/>
              <w:rPr>
                <w:rFonts w:ascii="Arial" w:eastAsia="Calibri" w:hAnsi="Arial" w:cs="Arial"/>
                <w:sz w:val="20"/>
                <w:szCs w:val="20"/>
              </w:rPr>
            </w:pPr>
            <w:r>
              <w:rPr>
                <w:rFonts w:ascii="Arial" w:eastAsia="Calibri" w:hAnsi="Arial" w:cs="Arial"/>
                <w:sz w:val="20"/>
                <w:szCs w:val="20"/>
              </w:rPr>
              <w:t>56,880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907"/>
        </w:trPr>
        <w:tc>
          <w:tcPr>
            <w:tcW w:w="1763" w:type="dxa"/>
          </w:tcPr>
          <w:p w:rsidR="00E62EBF" w:rsidRPr="00E61F70" w:rsidRDefault="00E62EBF" w:rsidP="003E5A0C">
            <w:pPr>
              <w:bidi w:val="0"/>
              <w:rPr>
                <w:rFonts w:ascii="Arial" w:eastAsia="Calibri" w:hAnsi="Arial" w:cs="Arial"/>
                <w:sz w:val="20"/>
                <w:szCs w:val="20"/>
              </w:rPr>
            </w:pPr>
            <w:proofErr w:type="spellStart"/>
            <w:r w:rsidRPr="00E61F70">
              <w:rPr>
                <w:rFonts w:ascii="Arial" w:eastAsia="Calibri" w:hAnsi="Arial" w:cs="Arial"/>
                <w:sz w:val="20"/>
                <w:szCs w:val="20"/>
              </w:rPr>
              <w:t>Debulking</w:t>
            </w:r>
            <w:proofErr w:type="spellEnd"/>
            <w:r w:rsidRPr="00E61F70">
              <w:rPr>
                <w:rFonts w:ascii="Arial" w:eastAsia="Calibri" w:hAnsi="Arial" w:cs="Arial"/>
                <w:sz w:val="20"/>
                <w:szCs w:val="20"/>
              </w:rPr>
              <w:t xml:space="preserve"> surgery (coded as </w:t>
            </w:r>
            <w:r w:rsidR="003E5A0C" w:rsidRPr="00E61F70">
              <w:rPr>
                <w:rFonts w:ascii="Arial" w:eastAsia="Calibri" w:hAnsi="Arial" w:cs="Arial"/>
                <w:sz w:val="20"/>
                <w:szCs w:val="20"/>
              </w:rPr>
              <w:t xml:space="preserve">Radical </w:t>
            </w:r>
            <w:r w:rsidRPr="00E61F70">
              <w:rPr>
                <w:rFonts w:ascii="Arial" w:eastAsia="Calibri" w:hAnsi="Arial" w:cs="Arial"/>
                <w:sz w:val="20"/>
                <w:szCs w:val="20"/>
              </w:rPr>
              <w:t>Hysterectomy)</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G00T9</w:t>
            </w:r>
          </w:p>
        </w:tc>
        <w:tc>
          <w:tcPr>
            <w:tcW w:w="1170" w:type="dxa"/>
          </w:tcPr>
          <w:p w:rsidR="00E62EBF" w:rsidRPr="00E61F70" w:rsidRDefault="00E62EBF" w:rsidP="003B6507">
            <w:pPr>
              <w:bidi w:val="0"/>
              <w:rPr>
                <w:rFonts w:ascii="Arial" w:eastAsia="Calibri" w:hAnsi="Arial" w:cs="Arial"/>
                <w:sz w:val="20"/>
                <w:szCs w:val="20"/>
              </w:rPr>
            </w:pPr>
            <w:r w:rsidRPr="00E61F70">
              <w:rPr>
                <w:rFonts w:ascii="Arial" w:eastAsia="Calibri" w:hAnsi="Arial" w:cs="Arial"/>
                <w:sz w:val="20"/>
                <w:szCs w:val="20"/>
              </w:rPr>
              <w:t>2</w:t>
            </w:r>
            <w:r w:rsidRPr="00E61F70">
              <w:rPr>
                <w:rFonts w:ascii="Arial" w:eastAsia="Calibri" w:hAnsi="Arial" w:cs="Arial" w:hint="cs"/>
                <w:sz w:val="20"/>
                <w:szCs w:val="20"/>
                <w:rtl/>
              </w:rPr>
              <w:t>8,</w:t>
            </w:r>
            <w:r w:rsidR="003B6507">
              <w:rPr>
                <w:rFonts w:ascii="Arial" w:eastAsia="Calibri" w:hAnsi="Arial" w:cs="Arial" w:hint="cs"/>
                <w:sz w:val="20"/>
                <w:szCs w:val="20"/>
                <w:rtl/>
              </w:rPr>
              <w:t>500</w:t>
            </w:r>
          </w:p>
        </w:tc>
        <w:tc>
          <w:tcPr>
            <w:tcW w:w="198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1</w:t>
            </w:r>
          </w:p>
        </w:tc>
        <w:tc>
          <w:tcPr>
            <w:tcW w:w="1170" w:type="dxa"/>
          </w:tcPr>
          <w:p w:rsidR="00E62EBF" w:rsidRPr="00E61F70" w:rsidRDefault="00E62EBF" w:rsidP="003B6507">
            <w:pPr>
              <w:bidi w:val="0"/>
              <w:rPr>
                <w:rFonts w:ascii="Arial" w:eastAsia="Calibri" w:hAnsi="Arial" w:cs="Arial"/>
                <w:sz w:val="20"/>
                <w:szCs w:val="20"/>
              </w:rPr>
            </w:pPr>
            <w:r w:rsidRPr="00E61F70">
              <w:rPr>
                <w:rFonts w:ascii="Arial" w:eastAsia="Calibri" w:hAnsi="Arial" w:cs="Arial"/>
                <w:sz w:val="20"/>
                <w:szCs w:val="20"/>
              </w:rPr>
              <w:t>2</w:t>
            </w:r>
            <w:r w:rsidR="003B6507">
              <w:rPr>
                <w:rFonts w:ascii="Arial" w:eastAsia="Calibri" w:hAnsi="Arial" w:cs="Arial" w:hint="cs"/>
                <w:sz w:val="20"/>
                <w:szCs w:val="20"/>
                <w:rtl/>
              </w:rPr>
              <w:t>8</w:t>
            </w:r>
            <w:r w:rsidRPr="00E61F70">
              <w:rPr>
                <w:rFonts w:ascii="Arial" w:eastAsia="Calibri" w:hAnsi="Arial" w:cs="Arial"/>
                <w:sz w:val="20"/>
                <w:szCs w:val="20"/>
              </w:rPr>
              <w:t>,</w:t>
            </w:r>
            <w:r w:rsidR="003B6507">
              <w:rPr>
                <w:rFonts w:ascii="Arial" w:eastAsia="Calibri" w:hAnsi="Arial" w:cs="Arial" w:hint="cs"/>
                <w:sz w:val="20"/>
                <w:szCs w:val="20"/>
                <w:rtl/>
              </w:rPr>
              <w:t>500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57"/>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Pelvic US</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L6856</w:t>
            </w:r>
          </w:p>
        </w:tc>
        <w:tc>
          <w:tcPr>
            <w:tcW w:w="1170" w:type="dxa"/>
          </w:tcPr>
          <w:p w:rsidR="00E62EBF" w:rsidRPr="00E61F70" w:rsidRDefault="00E62EBF" w:rsidP="003B6507">
            <w:pPr>
              <w:bidi w:val="0"/>
              <w:rPr>
                <w:rFonts w:ascii="Arial" w:eastAsia="Calibri" w:hAnsi="Arial" w:cs="Arial"/>
                <w:sz w:val="20"/>
                <w:szCs w:val="20"/>
              </w:rPr>
            </w:pPr>
            <w:r w:rsidRPr="00E61F70">
              <w:rPr>
                <w:rFonts w:ascii="Arial" w:eastAsia="Calibri" w:hAnsi="Arial" w:cs="Arial"/>
                <w:sz w:val="20"/>
                <w:szCs w:val="20"/>
              </w:rPr>
              <w:t>3</w:t>
            </w:r>
            <w:r w:rsidRPr="00E61F70">
              <w:rPr>
                <w:rFonts w:ascii="Arial" w:eastAsia="Calibri" w:hAnsi="Arial" w:cs="Arial" w:hint="cs"/>
                <w:sz w:val="20"/>
                <w:szCs w:val="20"/>
                <w:rtl/>
              </w:rPr>
              <w:t>9</w:t>
            </w:r>
            <w:r w:rsidR="003B6507">
              <w:rPr>
                <w:rFonts w:ascii="Arial" w:eastAsia="Calibri" w:hAnsi="Arial" w:cs="Arial" w:hint="cs"/>
                <w:sz w:val="20"/>
                <w:szCs w:val="20"/>
                <w:rtl/>
              </w:rPr>
              <w:t>8</w:t>
            </w:r>
          </w:p>
        </w:tc>
        <w:tc>
          <w:tcPr>
            <w:tcW w:w="1980" w:type="dxa"/>
          </w:tcPr>
          <w:p w:rsidR="00E62EBF" w:rsidRPr="00E61F70" w:rsidRDefault="003B6507" w:rsidP="00E62EBF">
            <w:pPr>
              <w:bidi w:val="0"/>
              <w:rPr>
                <w:rFonts w:ascii="Arial" w:eastAsia="Calibri" w:hAnsi="Arial" w:cs="Arial"/>
                <w:sz w:val="20"/>
                <w:szCs w:val="20"/>
              </w:rPr>
            </w:pPr>
            <w:r>
              <w:rPr>
                <w:rFonts w:ascii="Arial" w:eastAsia="Calibri" w:hAnsi="Arial" w:cs="Arial" w:hint="cs"/>
                <w:sz w:val="20"/>
                <w:szCs w:val="20"/>
                <w:rtl/>
              </w:rPr>
              <w:t>5</w:t>
            </w:r>
          </w:p>
        </w:tc>
        <w:tc>
          <w:tcPr>
            <w:tcW w:w="1170" w:type="dxa"/>
          </w:tcPr>
          <w:p w:rsidR="00E62EBF" w:rsidRPr="00E61F70" w:rsidRDefault="003B6507" w:rsidP="00E62EBF">
            <w:pPr>
              <w:bidi w:val="0"/>
              <w:rPr>
                <w:rFonts w:ascii="Arial" w:eastAsia="Calibri" w:hAnsi="Arial" w:cs="Arial"/>
                <w:sz w:val="20"/>
                <w:szCs w:val="20"/>
              </w:rPr>
            </w:pPr>
            <w:r>
              <w:rPr>
                <w:rFonts w:ascii="Arial" w:eastAsia="Calibri" w:hAnsi="Arial" w:cs="Arial" w:hint="cs"/>
                <w:sz w:val="20"/>
                <w:szCs w:val="20"/>
                <w:rtl/>
              </w:rPr>
              <w:t>1,990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65"/>
        </w:trPr>
        <w:tc>
          <w:tcPr>
            <w:tcW w:w="1763" w:type="dxa"/>
          </w:tcPr>
          <w:p w:rsidR="00E62EBF" w:rsidRPr="00E61F70" w:rsidRDefault="00E62EBF" w:rsidP="00E62EBF">
            <w:pPr>
              <w:bidi w:val="0"/>
              <w:rPr>
                <w:rFonts w:ascii="Arial" w:eastAsia="Calibri" w:hAnsi="Arial" w:cs="Arial"/>
                <w:sz w:val="20"/>
                <w:szCs w:val="20"/>
                <w:rtl/>
              </w:rPr>
            </w:pPr>
            <w:r w:rsidRPr="00E61F70">
              <w:rPr>
                <w:rFonts w:ascii="Arial" w:eastAsia="Calibri" w:hAnsi="Arial" w:cs="Arial"/>
                <w:sz w:val="20"/>
                <w:szCs w:val="20"/>
              </w:rPr>
              <w:t>Oncology day care treatment</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L6550</w:t>
            </w:r>
          </w:p>
        </w:tc>
        <w:tc>
          <w:tcPr>
            <w:tcW w:w="1170" w:type="dxa"/>
          </w:tcPr>
          <w:p w:rsidR="00E62EBF" w:rsidRPr="00E61F70" w:rsidRDefault="00E62EBF" w:rsidP="003B6507">
            <w:pPr>
              <w:bidi w:val="0"/>
              <w:rPr>
                <w:rFonts w:ascii="Arial" w:eastAsia="Calibri" w:hAnsi="Arial" w:cs="Arial"/>
                <w:sz w:val="20"/>
                <w:szCs w:val="20"/>
              </w:rPr>
            </w:pPr>
            <w:r w:rsidRPr="00E61F70">
              <w:rPr>
                <w:rFonts w:ascii="Arial" w:eastAsia="Calibri" w:hAnsi="Arial" w:cs="Arial"/>
                <w:sz w:val="20"/>
                <w:szCs w:val="20"/>
              </w:rPr>
              <w:t>1,</w:t>
            </w:r>
            <w:r w:rsidR="003B6507">
              <w:rPr>
                <w:rFonts w:ascii="Arial" w:eastAsia="Calibri" w:hAnsi="Arial" w:cs="Arial"/>
                <w:sz w:val="20"/>
                <w:szCs w:val="20"/>
              </w:rPr>
              <w:t>618</w:t>
            </w:r>
          </w:p>
        </w:tc>
        <w:tc>
          <w:tcPr>
            <w:tcW w:w="1980" w:type="dxa"/>
          </w:tcPr>
          <w:p w:rsidR="00E62EBF" w:rsidRPr="00E61F70" w:rsidRDefault="003B6507" w:rsidP="00E62EBF">
            <w:pPr>
              <w:bidi w:val="0"/>
              <w:rPr>
                <w:rFonts w:ascii="Arial" w:eastAsia="Calibri" w:hAnsi="Arial" w:cs="Arial"/>
                <w:sz w:val="20"/>
                <w:szCs w:val="20"/>
              </w:rPr>
            </w:pPr>
            <w:r>
              <w:rPr>
                <w:rFonts w:ascii="Arial" w:eastAsia="Calibri" w:hAnsi="Arial" w:cs="Arial"/>
                <w:sz w:val="20"/>
                <w:szCs w:val="20"/>
              </w:rPr>
              <w:t>20</w:t>
            </w:r>
          </w:p>
        </w:tc>
        <w:tc>
          <w:tcPr>
            <w:tcW w:w="1170" w:type="dxa"/>
          </w:tcPr>
          <w:p w:rsidR="00E62EBF" w:rsidRPr="00E61F70" w:rsidRDefault="003B6507" w:rsidP="00E62EBF">
            <w:pPr>
              <w:bidi w:val="0"/>
              <w:rPr>
                <w:rFonts w:ascii="Arial" w:eastAsia="Calibri" w:hAnsi="Arial" w:cs="Arial"/>
                <w:sz w:val="20"/>
                <w:szCs w:val="20"/>
                <w:rtl/>
              </w:rPr>
            </w:pPr>
            <w:r>
              <w:rPr>
                <w:rFonts w:ascii="Arial" w:eastAsia="Calibri" w:hAnsi="Arial" w:cs="Arial"/>
                <w:sz w:val="20"/>
                <w:szCs w:val="20"/>
              </w:rPr>
              <w:t>32,360</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915"/>
        </w:trPr>
        <w:tc>
          <w:tcPr>
            <w:tcW w:w="1763" w:type="dxa"/>
          </w:tcPr>
          <w:p w:rsidR="00E62EBF" w:rsidRPr="00E61F70" w:rsidRDefault="00E62EBF" w:rsidP="00E62EBF">
            <w:pPr>
              <w:bidi w:val="0"/>
              <w:rPr>
                <w:rFonts w:ascii="Arial" w:eastAsia="Calibri" w:hAnsi="Arial" w:cs="Arial"/>
                <w:sz w:val="20"/>
                <w:szCs w:val="20"/>
              </w:rPr>
            </w:pPr>
            <w:proofErr w:type="spellStart"/>
            <w:r w:rsidRPr="00E61F70">
              <w:rPr>
                <w:rFonts w:ascii="Arial" w:eastAsia="Calibri" w:hAnsi="Arial" w:cs="Arial"/>
                <w:sz w:val="20"/>
                <w:szCs w:val="20"/>
              </w:rPr>
              <w:t>Neulastim</w:t>
            </w:r>
            <w:proofErr w:type="spellEnd"/>
            <w:r w:rsidRPr="00E61F70">
              <w:rPr>
                <w:rFonts w:ascii="Arial" w:eastAsia="Calibri" w:hAnsi="Arial" w:cs="Arial"/>
                <w:sz w:val="20"/>
                <w:szCs w:val="20"/>
              </w:rPr>
              <w:t xml:space="preserve"> (6 mg)</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4971</w:t>
            </w:r>
          </w:p>
        </w:tc>
        <w:tc>
          <w:tcPr>
            <w:tcW w:w="1170" w:type="dxa"/>
          </w:tcPr>
          <w:p w:rsidR="00E62EBF" w:rsidRPr="00E61F70" w:rsidRDefault="00434769" w:rsidP="00E62EBF">
            <w:pPr>
              <w:bidi w:val="0"/>
              <w:rPr>
                <w:rFonts w:ascii="Arial" w:eastAsia="Calibri" w:hAnsi="Arial" w:cs="Arial"/>
                <w:sz w:val="20"/>
                <w:szCs w:val="20"/>
              </w:rPr>
            </w:pPr>
            <w:r>
              <w:rPr>
                <w:rFonts w:ascii="Arial" w:eastAsia="Calibri" w:hAnsi="Arial" w:cs="Arial" w:hint="cs"/>
                <w:sz w:val="20"/>
                <w:szCs w:val="20"/>
                <w:rtl/>
              </w:rPr>
              <w:t>3,469</w:t>
            </w:r>
            <w:r w:rsidR="00E62EBF" w:rsidRPr="00E61F70">
              <w:rPr>
                <w:rFonts w:ascii="Arial" w:eastAsia="Calibri" w:hAnsi="Arial" w:cs="Arial"/>
                <w:sz w:val="20"/>
                <w:szCs w:val="20"/>
              </w:rPr>
              <w:t>/6mg</w:t>
            </w:r>
          </w:p>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Need 6 mg</w:t>
            </w:r>
          </w:p>
        </w:tc>
        <w:tc>
          <w:tcPr>
            <w:tcW w:w="1980" w:type="dxa"/>
          </w:tcPr>
          <w:p w:rsidR="00E62EBF" w:rsidRPr="00E61F70" w:rsidRDefault="003E5A0C" w:rsidP="00E62EBF">
            <w:pPr>
              <w:bidi w:val="0"/>
              <w:rPr>
                <w:rFonts w:ascii="Arial" w:eastAsia="Calibri" w:hAnsi="Arial" w:cs="Arial"/>
                <w:sz w:val="20"/>
                <w:szCs w:val="20"/>
                <w:highlight w:val="yellow"/>
              </w:rPr>
            </w:pPr>
            <w:r>
              <w:rPr>
                <w:rFonts w:ascii="Arial" w:eastAsia="Calibri" w:hAnsi="Arial" w:cs="Arial"/>
                <w:sz w:val="20"/>
                <w:szCs w:val="20"/>
              </w:rPr>
              <w:t>2</w:t>
            </w:r>
          </w:p>
        </w:tc>
        <w:tc>
          <w:tcPr>
            <w:tcW w:w="1170" w:type="dxa"/>
          </w:tcPr>
          <w:p w:rsidR="00E62EBF" w:rsidRPr="00E61F70" w:rsidRDefault="003E5A0C" w:rsidP="00E62EBF">
            <w:pPr>
              <w:bidi w:val="0"/>
              <w:rPr>
                <w:rFonts w:ascii="Arial" w:eastAsia="Calibri" w:hAnsi="Arial" w:cs="Arial"/>
                <w:sz w:val="20"/>
                <w:szCs w:val="20"/>
              </w:rPr>
            </w:pPr>
            <w:r>
              <w:rPr>
                <w:rFonts w:ascii="Arial" w:eastAsia="Calibri" w:hAnsi="Arial" w:cs="Arial"/>
                <w:sz w:val="20"/>
                <w:szCs w:val="20"/>
              </w:rPr>
              <w:t>6,938</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65"/>
        </w:trPr>
        <w:tc>
          <w:tcPr>
            <w:tcW w:w="1763" w:type="dxa"/>
          </w:tcPr>
          <w:p w:rsidR="00E62EBF" w:rsidRPr="00E61F70" w:rsidRDefault="00E62EBF" w:rsidP="00E62EBF">
            <w:pPr>
              <w:bidi w:val="0"/>
              <w:rPr>
                <w:rFonts w:ascii="Arial" w:eastAsia="Calibri" w:hAnsi="Arial" w:cs="Arial"/>
                <w:sz w:val="20"/>
                <w:szCs w:val="20"/>
              </w:rPr>
            </w:pPr>
            <w:proofErr w:type="spellStart"/>
            <w:r w:rsidRPr="00E61F70">
              <w:rPr>
                <w:rFonts w:ascii="Arial" w:eastAsia="Calibri" w:hAnsi="Arial" w:cs="Arial"/>
                <w:sz w:val="20"/>
                <w:szCs w:val="20"/>
              </w:rPr>
              <w:t>Akynzeo</w:t>
            </w:r>
            <w:proofErr w:type="spellEnd"/>
            <w:r w:rsidRPr="00E61F70">
              <w:rPr>
                <w:rFonts w:ascii="Arial" w:eastAsia="Calibri" w:hAnsi="Arial" w:cs="Arial"/>
                <w:sz w:val="20"/>
                <w:szCs w:val="20"/>
              </w:rPr>
              <w:t xml:space="preserve"> (1 dose)</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7798</w:t>
            </w:r>
          </w:p>
        </w:tc>
        <w:tc>
          <w:tcPr>
            <w:tcW w:w="1170" w:type="dxa"/>
          </w:tcPr>
          <w:p w:rsidR="00E62EBF" w:rsidRPr="00E61F70" w:rsidRDefault="00E62EBF" w:rsidP="00434769">
            <w:pPr>
              <w:bidi w:val="0"/>
              <w:rPr>
                <w:rFonts w:ascii="Arial" w:eastAsia="Calibri" w:hAnsi="Arial" w:cs="Arial"/>
                <w:sz w:val="20"/>
                <w:szCs w:val="20"/>
              </w:rPr>
            </w:pPr>
            <w:r w:rsidRPr="00E61F70">
              <w:rPr>
                <w:rFonts w:ascii="Arial" w:eastAsia="Calibri" w:hAnsi="Arial" w:cs="Arial"/>
                <w:sz w:val="20"/>
                <w:szCs w:val="20"/>
              </w:rPr>
              <w:t>3</w:t>
            </w:r>
            <w:r w:rsidR="00434769">
              <w:rPr>
                <w:rFonts w:ascii="Arial" w:eastAsia="Calibri" w:hAnsi="Arial" w:cs="Arial" w:hint="cs"/>
                <w:sz w:val="20"/>
                <w:szCs w:val="20"/>
                <w:rtl/>
              </w:rPr>
              <w:t>28</w:t>
            </w:r>
            <w:r w:rsidRPr="00E61F70">
              <w:rPr>
                <w:rFonts w:ascii="Arial" w:eastAsia="Calibri" w:hAnsi="Arial" w:cs="Arial"/>
                <w:sz w:val="20"/>
                <w:szCs w:val="20"/>
              </w:rPr>
              <w:t>/1 pack</w:t>
            </w:r>
          </w:p>
        </w:tc>
        <w:tc>
          <w:tcPr>
            <w:tcW w:w="1980" w:type="dxa"/>
          </w:tcPr>
          <w:p w:rsidR="00E62EBF" w:rsidRPr="00E61F70" w:rsidRDefault="003E5A0C" w:rsidP="00E62EBF">
            <w:pPr>
              <w:bidi w:val="0"/>
              <w:rPr>
                <w:rFonts w:ascii="Arial" w:eastAsia="Calibri" w:hAnsi="Arial" w:cs="Arial"/>
                <w:sz w:val="20"/>
                <w:szCs w:val="20"/>
                <w:highlight w:val="yellow"/>
              </w:rPr>
            </w:pPr>
            <w:r>
              <w:rPr>
                <w:rFonts w:ascii="Arial" w:eastAsia="Calibri" w:hAnsi="Arial" w:cs="Arial"/>
                <w:sz w:val="20"/>
                <w:szCs w:val="20"/>
              </w:rPr>
              <w:t>6</w:t>
            </w:r>
          </w:p>
        </w:tc>
        <w:tc>
          <w:tcPr>
            <w:tcW w:w="1170" w:type="dxa"/>
          </w:tcPr>
          <w:p w:rsidR="00E62EBF" w:rsidRPr="00E61F70" w:rsidRDefault="003E5A0C" w:rsidP="00434769">
            <w:pPr>
              <w:bidi w:val="0"/>
              <w:rPr>
                <w:rFonts w:ascii="Arial" w:eastAsia="Calibri" w:hAnsi="Arial" w:cs="Arial"/>
                <w:sz w:val="20"/>
                <w:szCs w:val="20"/>
              </w:rPr>
            </w:pPr>
            <w:r>
              <w:rPr>
                <w:rFonts w:ascii="Arial" w:eastAsia="Calibri" w:hAnsi="Arial" w:cs="Arial"/>
                <w:sz w:val="20"/>
                <w:szCs w:val="20"/>
              </w:rPr>
              <w:t>1,968</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1381"/>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1</w:t>
            </w:r>
            <w:r w:rsidRPr="00E61F70">
              <w:rPr>
                <w:rFonts w:ascii="Arial" w:eastAsia="Calibri" w:hAnsi="Arial" w:cs="Arial"/>
                <w:sz w:val="20"/>
                <w:szCs w:val="20"/>
                <w:vertAlign w:val="superscript"/>
              </w:rPr>
              <w:t>st</w:t>
            </w:r>
            <w:r w:rsidRPr="00E61F70">
              <w:rPr>
                <w:rFonts w:ascii="Arial" w:eastAsia="Calibri" w:hAnsi="Arial" w:cs="Arial"/>
                <w:sz w:val="20"/>
                <w:szCs w:val="20"/>
              </w:rPr>
              <w:t xml:space="preserve"> line Carboplatin 450 mg</w:t>
            </w:r>
          </w:p>
        </w:tc>
        <w:tc>
          <w:tcPr>
            <w:tcW w:w="842"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7445</w:t>
            </w:r>
          </w:p>
        </w:tc>
        <w:tc>
          <w:tcPr>
            <w:tcW w:w="117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hint="cs"/>
                <w:sz w:val="20"/>
                <w:szCs w:val="20"/>
                <w:rtl/>
              </w:rPr>
              <w:t>407</w:t>
            </w:r>
            <w:r w:rsidR="000D504A">
              <w:rPr>
                <w:rFonts w:ascii="Arial" w:eastAsia="Calibri" w:hAnsi="Arial" w:cs="Arial"/>
                <w:sz w:val="20"/>
                <w:szCs w:val="20"/>
              </w:rPr>
              <w:t>(</w:t>
            </w:r>
            <w:r w:rsidRPr="00E61F70">
              <w:rPr>
                <w:rFonts w:ascii="Arial" w:eastAsia="Calibri" w:hAnsi="Arial" w:cs="Arial"/>
                <w:sz w:val="20"/>
                <w:szCs w:val="20"/>
              </w:rPr>
              <w:t>450 mg</w:t>
            </w:r>
            <w:r w:rsidR="000D504A">
              <w:rPr>
                <w:rFonts w:ascii="Arial" w:eastAsia="Calibri" w:hAnsi="Arial" w:cs="Arial"/>
                <w:sz w:val="20"/>
                <w:szCs w:val="20"/>
              </w:rPr>
              <w:t>)</w:t>
            </w:r>
            <w:r w:rsidRPr="00E61F70">
              <w:rPr>
                <w:rFonts w:ascii="Arial" w:eastAsia="Calibri" w:hAnsi="Arial" w:cs="Arial"/>
                <w:sz w:val="20"/>
                <w:szCs w:val="20"/>
              </w:rPr>
              <w:t xml:space="preserve"> </w:t>
            </w:r>
          </w:p>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Need 700 mg/cycle</w:t>
            </w:r>
          </w:p>
        </w:tc>
        <w:tc>
          <w:tcPr>
            <w:tcW w:w="198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6</w:t>
            </w:r>
          </w:p>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633 NIS /cycle *6 cycles</w:t>
            </w:r>
          </w:p>
        </w:tc>
        <w:tc>
          <w:tcPr>
            <w:tcW w:w="117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3,798</w:t>
            </w:r>
          </w:p>
        </w:tc>
        <w:tc>
          <w:tcPr>
            <w:tcW w:w="1800" w:type="dxa"/>
          </w:tcPr>
          <w:p w:rsidR="00E62EBF" w:rsidRPr="00E61F70" w:rsidRDefault="00E62EBF" w:rsidP="00E62EBF">
            <w:pPr>
              <w:bidi w:val="0"/>
              <w:rPr>
                <w:sz w:val="20"/>
                <w:szCs w:val="20"/>
              </w:rPr>
            </w:pPr>
            <w:r w:rsidRPr="00E61F70">
              <w:rPr>
                <w:rFonts w:asciiTheme="minorBidi" w:hAnsiTheme="minorBidi"/>
                <w:color w:val="000000" w:themeColor="text1"/>
                <w:sz w:val="20"/>
                <w:szCs w:val="20"/>
              </w:rPr>
              <w:t>IMH pricing list</w:t>
            </w:r>
          </w:p>
        </w:tc>
      </w:tr>
      <w:tr w:rsidR="00E61F70" w:rsidRPr="00E61F70" w:rsidTr="006C3048">
        <w:trPr>
          <w:trHeight w:val="457"/>
        </w:trPr>
        <w:tc>
          <w:tcPr>
            <w:tcW w:w="1763"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1</w:t>
            </w:r>
            <w:r w:rsidRPr="00E61F70">
              <w:rPr>
                <w:rFonts w:ascii="Arial" w:eastAsia="Calibri" w:hAnsi="Arial" w:cs="Arial"/>
                <w:sz w:val="20"/>
                <w:szCs w:val="20"/>
                <w:vertAlign w:val="superscript"/>
              </w:rPr>
              <w:t>st</w:t>
            </w:r>
            <w:r w:rsidRPr="00E61F70">
              <w:rPr>
                <w:rFonts w:ascii="Arial" w:eastAsia="Calibri" w:hAnsi="Arial" w:cs="Arial"/>
                <w:sz w:val="20"/>
                <w:szCs w:val="20"/>
              </w:rPr>
              <w:t xml:space="preserve"> line Paclitaxel 30mg</w:t>
            </w:r>
          </w:p>
        </w:tc>
        <w:tc>
          <w:tcPr>
            <w:tcW w:w="842" w:type="dxa"/>
          </w:tcPr>
          <w:p w:rsidR="00E62EBF" w:rsidRPr="00E61F70" w:rsidRDefault="000D504A" w:rsidP="00E62EBF">
            <w:pPr>
              <w:bidi w:val="0"/>
              <w:rPr>
                <w:rFonts w:ascii="Arial" w:eastAsia="Calibri" w:hAnsi="Arial" w:cs="Arial"/>
                <w:sz w:val="20"/>
                <w:szCs w:val="20"/>
              </w:rPr>
            </w:pPr>
            <w:r>
              <w:rPr>
                <w:rFonts w:ascii="Arial" w:eastAsia="Calibri" w:hAnsi="Arial" w:cs="Arial"/>
                <w:sz w:val="20"/>
                <w:szCs w:val="20"/>
              </w:rPr>
              <w:t>8349</w:t>
            </w:r>
          </w:p>
        </w:tc>
        <w:tc>
          <w:tcPr>
            <w:tcW w:w="1170" w:type="dxa"/>
          </w:tcPr>
          <w:p w:rsidR="00E62EBF" w:rsidRPr="00E61F70" w:rsidRDefault="00434769" w:rsidP="00E62EBF">
            <w:pPr>
              <w:bidi w:val="0"/>
              <w:rPr>
                <w:rFonts w:ascii="Arial" w:eastAsia="Calibri" w:hAnsi="Arial" w:cs="Arial"/>
                <w:sz w:val="20"/>
                <w:szCs w:val="20"/>
              </w:rPr>
            </w:pPr>
            <w:r>
              <w:rPr>
                <w:rFonts w:ascii="Arial" w:eastAsia="Calibri" w:hAnsi="Arial" w:cs="Arial" w:hint="cs"/>
                <w:sz w:val="20"/>
                <w:szCs w:val="20"/>
                <w:rtl/>
              </w:rPr>
              <w:t>1473</w:t>
            </w:r>
            <w:r w:rsidR="00E62EBF" w:rsidRPr="00E61F70">
              <w:rPr>
                <w:rFonts w:ascii="Arial" w:eastAsia="Calibri" w:hAnsi="Arial" w:cs="Arial"/>
                <w:sz w:val="20"/>
                <w:szCs w:val="20"/>
              </w:rPr>
              <w:t>/3</w:t>
            </w:r>
            <w:r>
              <w:rPr>
                <w:rFonts w:ascii="Arial" w:eastAsia="Calibri" w:hAnsi="Arial" w:cs="Arial"/>
                <w:sz w:val="20"/>
                <w:szCs w:val="20"/>
              </w:rPr>
              <w:t>0</w:t>
            </w:r>
            <w:r w:rsidR="00E62EBF" w:rsidRPr="00E61F70">
              <w:rPr>
                <w:rFonts w:ascii="Arial" w:eastAsia="Calibri" w:hAnsi="Arial" w:cs="Arial"/>
                <w:sz w:val="20"/>
                <w:szCs w:val="20"/>
              </w:rPr>
              <w:t xml:space="preserve">0 mg </w:t>
            </w:r>
          </w:p>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Need 300mg</w:t>
            </w:r>
          </w:p>
        </w:tc>
        <w:tc>
          <w:tcPr>
            <w:tcW w:w="1980" w:type="dxa"/>
          </w:tcPr>
          <w:p w:rsidR="00E62EBF" w:rsidRPr="00E61F70" w:rsidRDefault="00E62EBF" w:rsidP="00E62EBF">
            <w:pPr>
              <w:bidi w:val="0"/>
              <w:rPr>
                <w:rFonts w:ascii="Arial" w:eastAsia="Calibri" w:hAnsi="Arial" w:cs="Arial"/>
                <w:sz w:val="20"/>
                <w:szCs w:val="20"/>
              </w:rPr>
            </w:pPr>
            <w:r w:rsidRPr="00E61F70">
              <w:rPr>
                <w:rFonts w:ascii="Arial" w:eastAsia="Calibri" w:hAnsi="Arial" w:cs="Arial"/>
                <w:sz w:val="20"/>
                <w:szCs w:val="20"/>
              </w:rPr>
              <w:t>6</w:t>
            </w:r>
          </w:p>
          <w:p w:rsidR="00E62EBF" w:rsidRPr="00E61F70" w:rsidRDefault="00434769" w:rsidP="00E62EBF">
            <w:pPr>
              <w:bidi w:val="0"/>
              <w:rPr>
                <w:rFonts w:ascii="Arial" w:eastAsia="Calibri" w:hAnsi="Arial" w:cs="Arial"/>
                <w:sz w:val="20"/>
                <w:szCs w:val="20"/>
              </w:rPr>
            </w:pPr>
            <w:r>
              <w:rPr>
                <w:rFonts w:ascii="Arial" w:eastAsia="Calibri" w:hAnsi="Arial" w:cs="Arial"/>
                <w:sz w:val="20"/>
                <w:szCs w:val="20"/>
              </w:rPr>
              <w:t>1473</w:t>
            </w:r>
            <w:r w:rsidR="00E62EBF" w:rsidRPr="00E61F70">
              <w:rPr>
                <w:rFonts w:ascii="Arial" w:eastAsia="Calibri" w:hAnsi="Arial" w:cs="Arial"/>
                <w:sz w:val="20"/>
                <w:szCs w:val="20"/>
              </w:rPr>
              <w:t xml:space="preserve"> NIS /cycle*6 cycles</w:t>
            </w:r>
          </w:p>
        </w:tc>
        <w:tc>
          <w:tcPr>
            <w:tcW w:w="1170" w:type="dxa"/>
          </w:tcPr>
          <w:p w:rsidR="00E62EBF" w:rsidRPr="00E61F70" w:rsidRDefault="00434769" w:rsidP="00E62EBF">
            <w:pPr>
              <w:bidi w:val="0"/>
              <w:rPr>
                <w:rFonts w:ascii="Arial" w:eastAsia="Calibri" w:hAnsi="Arial" w:cs="Arial"/>
                <w:sz w:val="20"/>
                <w:szCs w:val="20"/>
              </w:rPr>
            </w:pPr>
            <w:r>
              <w:rPr>
                <w:rFonts w:ascii="Arial" w:eastAsia="Calibri" w:hAnsi="Arial" w:cs="Arial"/>
                <w:sz w:val="20"/>
                <w:szCs w:val="20"/>
              </w:rPr>
              <w:t>8,838</w:t>
            </w:r>
          </w:p>
        </w:tc>
        <w:tc>
          <w:tcPr>
            <w:tcW w:w="1800" w:type="dxa"/>
          </w:tcPr>
          <w:p w:rsidR="00E62EBF" w:rsidRPr="00E61F70" w:rsidRDefault="00E62EBF" w:rsidP="00E62EBF">
            <w:pPr>
              <w:bidi w:val="0"/>
              <w:rPr>
                <w:sz w:val="20"/>
                <w:szCs w:val="20"/>
                <w:rtl/>
              </w:rPr>
            </w:pPr>
            <w:r w:rsidRPr="00E61F70">
              <w:rPr>
                <w:rFonts w:asciiTheme="minorBidi" w:hAnsiTheme="minorBidi"/>
                <w:color w:val="000000" w:themeColor="text1"/>
                <w:sz w:val="20"/>
                <w:szCs w:val="20"/>
              </w:rPr>
              <w:t>IMH pricing list</w:t>
            </w:r>
          </w:p>
        </w:tc>
      </w:tr>
      <w:tr w:rsidR="00E61F70" w:rsidRPr="00E61F70" w:rsidTr="006C3048">
        <w:trPr>
          <w:trHeight w:val="690"/>
        </w:trPr>
        <w:tc>
          <w:tcPr>
            <w:tcW w:w="1763" w:type="dxa"/>
          </w:tcPr>
          <w:p w:rsidR="004F4C94" w:rsidRPr="00E61F70" w:rsidRDefault="004F4C94" w:rsidP="00F74C4B">
            <w:pPr>
              <w:bidi w:val="0"/>
              <w:rPr>
                <w:rFonts w:ascii="Arial" w:eastAsia="Calibri" w:hAnsi="Arial" w:cs="Arial"/>
                <w:sz w:val="20"/>
                <w:szCs w:val="20"/>
              </w:rPr>
            </w:pPr>
            <w:r w:rsidRPr="00EC1382">
              <w:rPr>
                <w:rFonts w:ascii="Arial" w:eastAsia="Calibri" w:hAnsi="Arial" w:cs="Arial"/>
                <w:sz w:val="20"/>
                <w:szCs w:val="20"/>
              </w:rPr>
              <w:lastRenderedPageBreak/>
              <w:t>2</w:t>
            </w:r>
            <w:r w:rsidRPr="00EC1382">
              <w:rPr>
                <w:rFonts w:ascii="Arial" w:eastAsia="Calibri" w:hAnsi="Arial" w:cs="Arial"/>
                <w:sz w:val="20"/>
                <w:szCs w:val="20"/>
                <w:vertAlign w:val="superscript"/>
              </w:rPr>
              <w:t>nd</w:t>
            </w:r>
            <w:r w:rsidR="00434769" w:rsidRPr="00EC1382">
              <w:rPr>
                <w:rFonts w:ascii="Arial" w:eastAsia="Calibri" w:hAnsi="Arial" w:cs="Arial"/>
                <w:sz w:val="20"/>
                <w:szCs w:val="20"/>
              </w:rPr>
              <w:t xml:space="preserve"> line chemotherapy +supportive care (</w:t>
            </w:r>
            <w:r w:rsidRPr="00EC1382">
              <w:rPr>
                <w:rFonts w:ascii="Arial" w:eastAsia="Calibri" w:hAnsi="Arial" w:cs="Arial" w:hint="cs"/>
                <w:sz w:val="20"/>
                <w:szCs w:val="20"/>
                <w:rtl/>
              </w:rPr>
              <w:t>7</w:t>
            </w:r>
            <w:r w:rsidRPr="00EC1382">
              <w:rPr>
                <w:rFonts w:ascii="Arial" w:eastAsia="Calibri" w:hAnsi="Arial" w:cs="Arial"/>
                <w:sz w:val="20"/>
                <w:szCs w:val="20"/>
              </w:rPr>
              <w:t xml:space="preserve">0% </w:t>
            </w:r>
            <w:r w:rsidR="00434769" w:rsidRPr="00EC1382">
              <w:rPr>
                <w:rFonts w:ascii="Arial" w:eastAsia="Calibri" w:hAnsi="Arial" w:cs="Arial"/>
                <w:sz w:val="20"/>
                <w:szCs w:val="20"/>
              </w:rPr>
              <w:t>of patients)</w:t>
            </w:r>
          </w:p>
        </w:tc>
        <w:tc>
          <w:tcPr>
            <w:tcW w:w="842" w:type="dxa"/>
          </w:tcPr>
          <w:p w:rsidR="004F4C94" w:rsidRPr="00E61F70" w:rsidRDefault="004F4C94" w:rsidP="00F74C4B">
            <w:pPr>
              <w:bidi w:val="0"/>
              <w:rPr>
                <w:rFonts w:ascii="Arial" w:eastAsia="Calibri" w:hAnsi="Arial" w:cs="Arial"/>
                <w:sz w:val="20"/>
                <w:szCs w:val="20"/>
              </w:rPr>
            </w:pPr>
          </w:p>
        </w:tc>
        <w:tc>
          <w:tcPr>
            <w:tcW w:w="1170" w:type="dxa"/>
          </w:tcPr>
          <w:p w:rsidR="004F4C94" w:rsidRPr="00E61F70" w:rsidRDefault="004F4C94" w:rsidP="00F74C4B">
            <w:pPr>
              <w:bidi w:val="0"/>
              <w:rPr>
                <w:rFonts w:ascii="Arial" w:eastAsia="Calibri" w:hAnsi="Arial" w:cs="Arial"/>
                <w:sz w:val="20"/>
                <w:szCs w:val="20"/>
              </w:rPr>
            </w:pPr>
          </w:p>
        </w:tc>
        <w:tc>
          <w:tcPr>
            <w:tcW w:w="1980" w:type="dxa"/>
          </w:tcPr>
          <w:p w:rsidR="004F4C94" w:rsidRPr="00E61F70" w:rsidRDefault="004F4C94" w:rsidP="003E5A0C">
            <w:pPr>
              <w:bidi w:val="0"/>
              <w:rPr>
                <w:rFonts w:ascii="Arial" w:eastAsia="Calibri" w:hAnsi="Arial" w:cs="Arial"/>
                <w:sz w:val="20"/>
                <w:szCs w:val="20"/>
              </w:rPr>
            </w:pPr>
            <w:r w:rsidRPr="00E61F70">
              <w:rPr>
                <w:rFonts w:ascii="Arial" w:eastAsia="Calibri" w:hAnsi="Arial" w:cs="Arial"/>
                <w:sz w:val="20"/>
                <w:szCs w:val="20"/>
              </w:rPr>
              <w:t>(3,798+</w:t>
            </w:r>
            <w:r w:rsidR="004E4FCB">
              <w:rPr>
                <w:rFonts w:ascii="Arial" w:eastAsia="Calibri" w:hAnsi="Arial" w:cs="Arial"/>
                <w:sz w:val="20"/>
                <w:szCs w:val="20"/>
              </w:rPr>
              <w:t>8,838+</w:t>
            </w:r>
            <w:r w:rsidR="003E5A0C">
              <w:rPr>
                <w:rFonts w:ascii="Arial" w:eastAsia="Calibri" w:hAnsi="Arial" w:cs="Arial"/>
                <w:sz w:val="20"/>
                <w:szCs w:val="20"/>
              </w:rPr>
              <w:t>1,968</w:t>
            </w:r>
            <w:r w:rsidR="004E4FCB">
              <w:rPr>
                <w:rFonts w:ascii="Arial" w:eastAsia="Calibri" w:hAnsi="Arial" w:cs="Arial"/>
                <w:sz w:val="20"/>
                <w:szCs w:val="20"/>
              </w:rPr>
              <w:t>+,3798</w:t>
            </w:r>
            <w:r w:rsidRPr="00E61F70">
              <w:rPr>
                <w:rFonts w:ascii="Arial" w:eastAsia="Calibri" w:hAnsi="Arial" w:cs="Arial"/>
                <w:sz w:val="20"/>
                <w:szCs w:val="20"/>
              </w:rPr>
              <w:t>)*0.</w:t>
            </w:r>
            <w:r w:rsidRPr="00E61F70">
              <w:rPr>
                <w:rFonts w:ascii="Arial" w:eastAsia="Calibri" w:hAnsi="Arial" w:cs="Arial" w:hint="cs"/>
                <w:sz w:val="20"/>
                <w:szCs w:val="20"/>
                <w:rtl/>
              </w:rPr>
              <w:t>7</w:t>
            </w:r>
          </w:p>
        </w:tc>
        <w:tc>
          <w:tcPr>
            <w:tcW w:w="1170" w:type="dxa"/>
          </w:tcPr>
          <w:p w:rsidR="004F4C94" w:rsidRPr="00E61F70" w:rsidRDefault="003E5A0C" w:rsidP="00F74C4B">
            <w:pPr>
              <w:bidi w:val="0"/>
              <w:rPr>
                <w:rFonts w:ascii="Arial" w:eastAsia="Calibri" w:hAnsi="Arial" w:cs="Arial"/>
                <w:sz w:val="20"/>
                <w:szCs w:val="20"/>
              </w:rPr>
            </w:pPr>
            <w:r>
              <w:rPr>
                <w:rFonts w:ascii="Arial" w:eastAsia="Calibri" w:hAnsi="Arial" w:cs="Arial"/>
                <w:sz w:val="20"/>
                <w:szCs w:val="20"/>
              </w:rPr>
              <w:t>12,881</w:t>
            </w:r>
          </w:p>
        </w:tc>
        <w:tc>
          <w:tcPr>
            <w:tcW w:w="1800" w:type="dxa"/>
          </w:tcPr>
          <w:p w:rsidR="004F4C94" w:rsidRPr="00E61F70" w:rsidRDefault="004F4C94" w:rsidP="00E4511C">
            <w:pPr>
              <w:bidi w:val="0"/>
              <w:rPr>
                <w:rFonts w:ascii="Arial" w:eastAsia="Calibri" w:hAnsi="Arial" w:cs="Arial"/>
                <w:sz w:val="20"/>
                <w:szCs w:val="20"/>
              </w:rPr>
            </w:pPr>
            <w:r w:rsidRPr="00E61F70">
              <w:rPr>
                <w:rFonts w:ascii="Arial" w:eastAsia="Calibri" w:hAnsi="Arial" w:cs="Arial"/>
                <w:sz w:val="20"/>
                <w:szCs w:val="20"/>
              </w:rPr>
              <w:t xml:space="preserve">Assuming 70% of patients </w:t>
            </w:r>
            <w:proofErr w:type="spellStart"/>
            <w:r w:rsidRPr="00E61F70">
              <w:rPr>
                <w:rFonts w:ascii="Arial" w:eastAsia="Calibri" w:hAnsi="Arial" w:cs="Arial"/>
                <w:sz w:val="20"/>
                <w:szCs w:val="20"/>
              </w:rPr>
              <w:t>relaps</w:t>
            </w:r>
            <w:proofErr w:type="spellEnd"/>
            <w:r w:rsidR="00E4511C">
              <w:rPr>
                <w:rFonts w:ascii="Arial" w:eastAsia="Calibri" w:hAnsi="Arial" w:cs="Arial"/>
                <w:sz w:val="20"/>
                <w:szCs w:val="20"/>
                <w:vertAlign w:val="superscript"/>
              </w:rPr>
              <w:fldChar w:fldCharType="begin" w:fldLock="1"/>
            </w:r>
            <w:r w:rsidR="00D907AB">
              <w:rPr>
                <w:rFonts w:ascii="Arial" w:eastAsia="Calibri" w:hAnsi="Arial" w:cs="Arial"/>
                <w:sz w:val="20"/>
                <w:szCs w:val="20"/>
                <w:vertAlign w:val="superscript"/>
              </w:rPr>
              <w:instrText>ADDIN CSL_CITATION {"citationItems":[{"id":"ITEM-1","itemData":{"DOI":"10.1016/j.ejogrb.2012.10.003","ISSN":"18727654","abstract":"Objective: To explore the pattern of chemotherapy (beyond the second-line) used to treat patients with recurrent epithelial ovarian cancer (including primary peritoneal carcinoma). Study design: This retrospective study included 156 patients with recurrent epithelial ovarian cancer and primary peritoneal carcinoma who were treated in the Gynecologic Oncologic Department at Meir Medical Center between November 1995 and December 2003. Clinical characteristics and data regarding the surgery, chemotherapy, and response to treatment were abstracted from the patients' medical records to determine patient response to advanced lines of chemotherapy for recurrent epithelial ovarian cancer. Results: Of the 156 patients, 63 (40%) were treated beyond second-line chemotherapy. Clinical response to third-line chemotherapy was 11.9% (6.8% had complete clinical response and 5.1% partial clinical response) and 3.4% had stable disease. A total of 17% did not show immediate progression, with a median progression free-interval of 1.5 months. A drastic decline in clinical response rates was shown beyond third-line chemotherapy. Any response to treatment in more advanced lines was consistently under 5%. Conclusion: These results imply that advanced lines of chemotherapy are associated with low response rates, although a small percentage of patients showed some clinical response or remained with stable disease at the end of treatment. Along with patient preferences, the advantages and disadvantages of continued therapy should be considered, for the side effects of each treatment cannot be overlooked. © 2012 Elsevier Ireland Ltd.","author":[{"dropping-particle":"","family":"Bruchim","given":"Ilan","non-dropping-particle":"","parse-names":false,"suffix":""},{"dropping-particle":"","family":"Jarchowsky-Dolberg","given":"Osnat","non-dropping-particle":"","parse-names":false,"suffix":""},{"dropping-particle":"","family":"Fishman","given":"Ami","non-dropping-particle":"","parse-names":false,"suffix":""}],"container-title":"European Journal of Obstetrics and Gynecology and Reproductive Biology","id":"ITEM-1","issue":"1","issued":{"date-parts":[["2013"]]},"page":"94-98","publisher":"Elsevier Ireland Ltd","title":"Advanced (&gt;second) line chemotherapy in the treatment of patients with recurrent epithelial ovarian cancer","type":"article-journal","volume":"166"},"uris":["http://www.mendeley.com/documents/?uuid=f2f5d283-9768-4d78-bc57-1b24bb74c564"]},{"id":"ITEM-2","itemData":{"DOI":"10.1016/j.ygyno.2016.12.017","ISSN":"10956859","PMID":"28041690","abstract":"Objective To evaluate clinical outcome in patients selected to receive neoadjuvant chemotherapy (NACT) compared to primary debulking surgery (PDS). Methods Retrospective study including all consecutive patients diagnosed and treated for advanced (stages III-IV) ovarian cancers between the years 2003–2015. Results 263 women were included in the study, of these, 127 patients were selected to receive NACT and 136 were treated with PDS followed by adjuvant chemotherapy. PDS was associated with longer OS in stage IIIc disease (median OS: 60.2 vs. 48.8ï¿½months; p-value 0.039) compared with NACT. Patients achieved higher rates of complete cytoreduction in the NACT group compared to the PDS group (65.9% vs. 40.2%; pï¿½=ï¿½0.001). Patients attaining complete cytoreduction after PDS had the best survival, (median OS 106ï¿½months) followed by those with complete cytoreduction after NACT (median OS 71ï¿½months), followed by those with residual disease after PDS (median OS 55ï¿½months). Patients with residual disease following interval debulking after NACT had the worst outcome (median OS 36ï¿½months). Platinum sensitivity following first line and second line chemotherapy was similar whether patients received neoadjuvant chemotherapy or not. Conclusion PDS was associated with improved outcome. NACT appears to improve survival outcome in patients that would have had residual disease after PDS, and attain complete cytoreduction at the time of interval cytoreduction. This treatment option can be used in selected patients that are not candidates for complete cytoreduction at PDS.","author":[{"dropping-particle":"","family":"Kessous","given":"Roy","non-dropping-particle":"","parse-names":false,"suffix":""},{"dropping-particle":"","family":"Laskov","given":"Ido","non-dropping-particle":"","parse-names":false,"suffix":""},{"dropping-particle":"","family":"Abitbol","given":"Jeremie","non-dropping-particle":"","parse-names":false,"suffix":""},{"dropping-particle":"","family":"Bitharas","given":"Joanna","non-dropping-particle":"","parse-names":false,"suffix":""},{"dropping-particle":"","family":"Yasmeen","given":"Amber","non-dropping-particle":"","parse-names":false,"suffix":""},{"dropping-particle":"","family":"Salvador","given":"Shannon","non-dropping-particle":"","parse-names":false,"suffix":""},{"dropping-particle":"","family":"Lau","given":"Susie","non-dropping-particle":"","parse-names":false,"suffix":""},{"dropping-particle":"","family":"Gotlieb","given":"Walter H.","non-dropping-particle":"","parse-names":false,"suffix":""}],"container-title":"Gynecologic Oncology","id":"ITEM-2","issue":"3","issued":{"date-parts":[["2017"]]},"page":"474-479","publisher":"Elsevier Inc.","title":"Clinical outcome of neoadjuvant chemotherapy for advanced ovarian cancer","type":"article-journal","volume":"144"},"uris":["http://www.mendeley.com/documents/?uuid=d078cc5b-b00f-4040-924d-fc275d5aa6bb"]},{"id":"ITEM-3","itemData":{"DOI":"10.1007/s12032-017-0901-x","ISSN":"1357-0560","author":[{"dropping-particle":"","family":"Houben","given":"E.","non-dropping-particle":"","parse-names":false,"suffix":""},{"dropping-particle":"","family":"Haalen","given":"H. G. M.","non-dropping-particle":"van","parse-names":false,"suffix":""},{"dropping-particle":"","family":"Sparreboom","given":"W.","non-dropping-particle":"","parse-names":false,"suffix":""},{"dropping-particle":"","family":"Overbeek","given":"J. A.","non-dropping-particle":"","parse-names":false,"suffix":""},{"dropping-particle":"","family":"Ezendam","given":"N. P. M.","non-dropping-particle":"","parse-names":false,"suffix":""},{"dropping-particle":"","family":"Pijnenborg","given":"J. M. A.","non-dropping-particle":"","parse-names":false,"suffix":""},{"dropping-particle":"","family":"Severens","given":"J. L.","non-dropping-particle":"","parse-names":false,"suffix":""},{"dropping-particle":"","family":"Herk-Sukel","given":"M. P. P.","non-dropping-particle":"van","parse-names":false,"suffix":""}],"container-title":"Medical Oncology","id":"ITEM-3","issue":"4","issued":{"date-parts":[["2017"]]},"page":"50","publisher":"Springer US","title":"Chemotherapy for ovarian cancer in the Netherlands: a population-based study on treatment patterns and outcomes","type":"article-journal","volume":"34"},"uris":["http://www.mendeley.com/documents/?uuid=2ef6d9a5-87f9-49f8-8156-0361e913baf2"]}],"mendeley":{"formattedCitation":"(2–4)","plainTextFormattedCitation":"(2–4)","previouslyFormattedCitation":"(2–4)"},"properties":{"noteIndex":0},"schema":"https://github.com/citation-style-language/schema/raw/master/csl-citation.json"}</w:instrText>
            </w:r>
            <w:r w:rsidR="00E4511C">
              <w:rPr>
                <w:rFonts w:ascii="Arial" w:eastAsia="Calibri" w:hAnsi="Arial" w:cs="Arial"/>
                <w:sz w:val="20"/>
                <w:szCs w:val="20"/>
                <w:vertAlign w:val="superscript"/>
              </w:rPr>
              <w:fldChar w:fldCharType="separate"/>
            </w:r>
            <w:r w:rsidR="00E4511C" w:rsidRPr="00E4511C">
              <w:rPr>
                <w:rFonts w:ascii="Arial" w:eastAsia="Calibri" w:hAnsi="Arial" w:cs="Arial"/>
                <w:noProof/>
                <w:sz w:val="20"/>
                <w:szCs w:val="20"/>
              </w:rPr>
              <w:t>(2–4)</w:t>
            </w:r>
            <w:r w:rsidR="00E4511C">
              <w:rPr>
                <w:rFonts w:ascii="Arial" w:eastAsia="Calibri" w:hAnsi="Arial" w:cs="Arial"/>
                <w:sz w:val="20"/>
                <w:szCs w:val="20"/>
                <w:vertAlign w:val="superscript"/>
              </w:rPr>
              <w:fldChar w:fldCharType="end"/>
            </w:r>
          </w:p>
        </w:tc>
      </w:tr>
      <w:tr w:rsidR="00E61F70" w:rsidRPr="00E61F70" w:rsidTr="006C3048">
        <w:trPr>
          <w:trHeight w:val="1381"/>
        </w:trPr>
        <w:tc>
          <w:tcPr>
            <w:tcW w:w="1763" w:type="dxa"/>
          </w:tcPr>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Bevacizumab</w:t>
            </w:r>
          </w:p>
        </w:tc>
        <w:tc>
          <w:tcPr>
            <w:tcW w:w="842" w:type="dxa"/>
          </w:tcPr>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4933</w:t>
            </w:r>
          </w:p>
        </w:tc>
        <w:tc>
          <w:tcPr>
            <w:tcW w:w="1170" w:type="dxa"/>
          </w:tcPr>
          <w:p w:rsidR="004F4C94" w:rsidRPr="00E61F70" w:rsidRDefault="004E4FCB" w:rsidP="00F74C4B">
            <w:pPr>
              <w:bidi w:val="0"/>
              <w:rPr>
                <w:rFonts w:ascii="Arial" w:eastAsia="Calibri" w:hAnsi="Arial" w:cs="Arial"/>
                <w:sz w:val="20"/>
                <w:szCs w:val="20"/>
              </w:rPr>
            </w:pPr>
            <w:r>
              <w:rPr>
                <w:rFonts w:ascii="Arial" w:eastAsia="Calibri" w:hAnsi="Arial" w:cs="Arial"/>
                <w:sz w:val="20"/>
                <w:szCs w:val="20"/>
              </w:rPr>
              <w:t>4,965</w:t>
            </w:r>
            <w:r w:rsidR="004F4C94" w:rsidRPr="00E61F70">
              <w:rPr>
                <w:rFonts w:ascii="Arial" w:eastAsia="Calibri" w:hAnsi="Arial" w:cs="Arial"/>
                <w:sz w:val="20"/>
                <w:szCs w:val="20"/>
              </w:rPr>
              <w:t>/400 mg</w:t>
            </w:r>
          </w:p>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Need 525 mg/cycle</w:t>
            </w:r>
          </w:p>
        </w:tc>
        <w:tc>
          <w:tcPr>
            <w:tcW w:w="1980" w:type="dxa"/>
          </w:tcPr>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17</w:t>
            </w:r>
          </w:p>
          <w:p w:rsidR="004F4C94" w:rsidRPr="00E61F70" w:rsidRDefault="004F4C94" w:rsidP="00736611">
            <w:pPr>
              <w:bidi w:val="0"/>
              <w:rPr>
                <w:rFonts w:ascii="Arial" w:eastAsia="Calibri" w:hAnsi="Arial" w:cs="Arial"/>
                <w:sz w:val="20"/>
                <w:szCs w:val="20"/>
              </w:rPr>
            </w:pPr>
            <w:r w:rsidRPr="00E61F70">
              <w:rPr>
                <w:rFonts w:ascii="Arial" w:eastAsia="Calibri" w:hAnsi="Arial" w:cs="Arial"/>
                <w:sz w:val="20"/>
                <w:szCs w:val="20"/>
              </w:rPr>
              <w:t>525mg</w:t>
            </w:r>
            <w:r w:rsidR="00631451">
              <w:rPr>
                <w:rFonts w:ascii="Arial" w:eastAsia="Calibri" w:hAnsi="Arial" w:cs="Arial"/>
                <w:sz w:val="20"/>
                <w:szCs w:val="20"/>
              </w:rPr>
              <w:t xml:space="preserve"> </w:t>
            </w:r>
            <w:r w:rsidRPr="00E61F70">
              <w:rPr>
                <w:rFonts w:ascii="Arial" w:eastAsia="Calibri" w:hAnsi="Arial" w:cs="Arial"/>
                <w:sz w:val="20"/>
                <w:szCs w:val="20"/>
              </w:rPr>
              <w:t>=</w:t>
            </w:r>
            <w:r w:rsidR="00736611">
              <w:rPr>
                <w:rFonts w:ascii="Arial" w:eastAsia="Calibri" w:hAnsi="Arial" w:cs="Arial"/>
                <w:sz w:val="20"/>
                <w:szCs w:val="20"/>
              </w:rPr>
              <w:t>6,516</w:t>
            </w:r>
          </w:p>
          <w:p w:rsidR="004F4C94" w:rsidRPr="00E61F70" w:rsidRDefault="004F4C94" w:rsidP="00736611">
            <w:pPr>
              <w:bidi w:val="0"/>
              <w:rPr>
                <w:rFonts w:ascii="Arial" w:eastAsia="Calibri" w:hAnsi="Arial" w:cs="Arial"/>
                <w:sz w:val="20"/>
                <w:szCs w:val="20"/>
              </w:rPr>
            </w:pPr>
            <w:r w:rsidRPr="00E61F70">
              <w:rPr>
                <w:rFonts w:ascii="Arial" w:eastAsia="Calibri" w:hAnsi="Arial" w:cs="Arial"/>
                <w:sz w:val="20"/>
                <w:szCs w:val="20"/>
              </w:rPr>
              <w:t>(</w:t>
            </w:r>
            <w:r w:rsidR="00736611">
              <w:rPr>
                <w:rFonts w:ascii="Arial" w:eastAsia="Calibri" w:hAnsi="Arial" w:cs="Arial"/>
                <w:sz w:val="20"/>
                <w:szCs w:val="20"/>
              </w:rPr>
              <w:t>6,516</w:t>
            </w:r>
            <w:r w:rsidRPr="00E61F70">
              <w:rPr>
                <w:rFonts w:ascii="Arial" w:eastAsia="Calibri" w:hAnsi="Arial" w:cs="Arial"/>
                <w:sz w:val="20"/>
                <w:szCs w:val="20"/>
              </w:rPr>
              <w:t>*17 cycles)*40% of patients</w:t>
            </w:r>
          </w:p>
        </w:tc>
        <w:tc>
          <w:tcPr>
            <w:tcW w:w="1170" w:type="dxa"/>
          </w:tcPr>
          <w:p w:rsidR="004F4C94" w:rsidRPr="00E61F70" w:rsidRDefault="004E4FCB" w:rsidP="00F74C4B">
            <w:pPr>
              <w:bidi w:val="0"/>
              <w:rPr>
                <w:rFonts w:ascii="Arial" w:eastAsia="Calibri" w:hAnsi="Arial" w:cs="Arial"/>
                <w:sz w:val="20"/>
                <w:szCs w:val="20"/>
              </w:rPr>
            </w:pPr>
            <w:r>
              <w:rPr>
                <w:rFonts w:ascii="Arial" w:eastAsia="Calibri" w:hAnsi="Arial" w:cs="Arial"/>
                <w:sz w:val="20"/>
                <w:szCs w:val="20"/>
              </w:rPr>
              <w:t>44,312</w:t>
            </w:r>
          </w:p>
        </w:tc>
        <w:tc>
          <w:tcPr>
            <w:tcW w:w="1800" w:type="dxa"/>
          </w:tcPr>
          <w:p w:rsidR="004F4C94" w:rsidRPr="00E61F70" w:rsidRDefault="004F4C94" w:rsidP="00E4511C">
            <w:pPr>
              <w:bidi w:val="0"/>
              <w:rPr>
                <w:rFonts w:ascii="Arial" w:eastAsia="Calibri" w:hAnsi="Arial" w:cs="Arial"/>
                <w:sz w:val="20"/>
                <w:szCs w:val="20"/>
              </w:rPr>
            </w:pPr>
            <w:r w:rsidRPr="00E61F70">
              <w:rPr>
                <w:rFonts w:ascii="Arial" w:eastAsia="Calibri" w:hAnsi="Arial" w:cs="Arial"/>
                <w:sz w:val="20"/>
                <w:szCs w:val="20"/>
              </w:rPr>
              <w:t xml:space="preserve">20% stage 4 + 20% suboptimal </w:t>
            </w:r>
            <w:proofErr w:type="spellStart"/>
            <w:r w:rsidRPr="00E61F70">
              <w:rPr>
                <w:rFonts w:ascii="Arial" w:eastAsia="Calibri" w:hAnsi="Arial" w:cs="Arial"/>
                <w:sz w:val="20"/>
                <w:szCs w:val="20"/>
              </w:rPr>
              <w:t>debulking</w:t>
            </w:r>
            <w:proofErr w:type="spellEnd"/>
            <w:r w:rsidR="00E4511C">
              <w:rPr>
                <w:rFonts w:ascii="Arial" w:eastAsia="Calibri" w:hAnsi="Arial" w:cs="Arial"/>
                <w:sz w:val="20"/>
                <w:szCs w:val="20"/>
              </w:rPr>
              <w:fldChar w:fldCharType="begin" w:fldLock="1"/>
            </w:r>
            <w:r w:rsidR="00D907AB">
              <w:rPr>
                <w:rFonts w:ascii="Arial" w:eastAsia="Calibri" w:hAnsi="Arial" w:cs="Arial"/>
                <w:sz w:val="20"/>
                <w:szCs w:val="20"/>
              </w:rPr>
              <w:instrText>ADDIN CSL_CITATION {"citationItems":[{"id":"ITEM-1","itemData":{"DOI":"10.1016/S1470-2045(15)00086-8","ISSN":"14745488","abstract":"Background: The ICON7 trial previously reported improved progression-free survival in women with ovarian cancer with the addition of bevacizumab to standard chemotherapy, with the greatest effect in patients at high risk of disease progression. We report the final overall survival results of the trial. Methods: ICON7 was an international, phase 3, open-label, randomised trial undertaken at 263 centres in 11 countries across Europe, Canada, Australia and New Zealand. Eligible adult women with newly diagnosed ovarian cancer that was either high-risk early-stage disease (International Federation of Gynecology and Obstetrics [FIGO] stage I-IIa, grade 3 or clear cell histology) or more advanced disease (FIGO stage IIb-IV), with an Eastern Cooperative Oncology Group performance status of 0-2, were enrolled and randomly assigned in a 1:1 ratio to standard chemotherapy (six 3-weekly cycles of intravenous carboplatin [AUC 5 or 6] and paclitaxel 175 mg/m&lt;sup&gt;2&lt;/sup&gt; of body surface area) or the same chemotherapy regimen plus bevacizumab 7·5 mg per kg bodyweight intravenously every 3 weeks, given concurrently and continued with up to 12 further 3-weekly cycles of maintenance therapy. Randomisation was done by a minimisation algorithm stratified by FIGO stage, residual disease, interval between surgery and chemotherapy, and Gynecologic Cancer InterGroup group. The primary endpoint was progression-free survival; the study was also powered to detect a difference in overall survival. Analysis was by intention to treat. This trial is registered as an International Standard Randomised Controlled Trial, number ISRCTN91273375. Findings: Between Dec 18, 2006, and Feb 16, 2009, 1528 women were enrolled and randomly assigned to receive chemotherapy (n=764) or chemotherapy plus bevacizumab (n=764). Median follow-up at the end of the trial on March 31, 2013, was 48·9 months (IQR 26·6-56·2), at which point 714 patients had died (352 in the chemotherapy group and 362 in the bevacizumab group). Our results showed evidence of non-proportional hazards, so we used the difference in restricted mean survival time as the primary estimate of effect. No overall survival benefit of bevacizumab was recorded (restricted mean survival time 44·6 months [95% CI 43·2-45·9] in the standard chemotherapy group vs 45·5 months [44·2-46·7] in the bevacizumab group; log-rank p=0·85). In an exploratory analysis of a predefined subgroup of 502 patients with poor prognosis disease, 332 (66%) died (174 in…","author":[{"dropping-particle":"","family":"Oza","given":"Amit M.","non-dropping-particle":"","parse-names":false,"suffix":""},{"dropping-particle":"","family":"Cook","given":"Adrian D.","non-dropping-particle":"","parse-names":false,"suffix":""},{"dropping-particle":"","family":"Pfisterer","given":"Jacobus","non-dropping-particle":"","parse-names":false,"suffix":""},{"dropping-particle":"","family":"Embleton","given":"Andrew","non-dropping-particle":"","parse-names":false,"suffix":""},{"dropping-particle":"","family":"Ledermann","given":"Jonathan A.","non-dropping-particle":"","parse-names":false,"suffix":""},{"dropping-particle":"","family":"Pujade-Lauraine","given":"Eric","non-dropping-particle":"","parse-names":false,"suffix":""},{"dropping-particle":"","family":"Kristensen","given":"Gunnar","non-dropping-particle":"","parse-names":false,"suffix":""},{"dropping-particle":"","family":"Carey","given":"Mark S.","non-dropping-particle":"","parse-names":false,"suffix":""},{"dropping-particle":"","family":"Beale","given":"Philip","non-dropping-particle":"","parse-names":false,"suffix":""},{"dropping-particle":"","family":"Cervantes","given":"Andrés","non-dropping-particle":"","parse-names":false,"suffix":""},{"dropping-particle":"","family":"Park-Simon","given":"Tjoung Won","non-dropping-particle":"","parse-names":false,"suffix":""},{"dropping-particle":"","family":"Rustin","given":"Gordon","non-dropping-particle":"","parse-names":false,"suffix":""},{"dropping-particle":"","family":"Joly","given":"Florence","non-dropping-particle":"","parse-names":false,"suffix":""},{"dropping-particle":"","family":"Mirza","given":"Mansoor R.","non-dropping-particle":"","parse-names":false,"suffix":""},{"dropping-particle":"","family":"Plante","given":"Marie","non-dropping-particle":"","parse-names":false,"suffix":""},{"dropping-particle":"","family":"Quinn","given":"Michael","non-dropping-particle":"","parse-names":false,"suffix":""},{"dropping-particle":"","family":"Poveda","given":"Andrés","non-dropping-particle":"","parse-names":false,"suffix":""},{"dropping-particle":"","family":"Jayson","given":"Gordon C.","non-dropping-particle":"","parse-names":false,"suffix":""},{"dropping-particle":"","family":"Stark","given":"Dan","non-dropping-particle":"","parse-names":false,"suffix":""},{"dropping-particle":"","family":"Swart","given":"Ann Marie","non-dropping-particle":"","parse-names":false,"suffix":""},{"dropping-particle":"","family":"Farrelly","given":"Laura","non-dropping-particle":"","parse-names":false,"suffix":""},{"dropping-particle":"","family":"Kaplan","given":"Richard","non-dropping-particle":"","parse-names":false,"suffix":""},{"dropping-particle":"","family":"Parmar","given":"Mahesh K.B.","non-dropping-particle":"","parse-names":false,"suffix":""},{"dropping-particle":"","family":"Perren","given":"Timothy J.","non-dropping-particle":"","parse-names":false,"suffix":""}],"container-title":"The Lancet Oncology","id":"ITEM-1","issue":"8","issued":{"date-parts":[["2015"]]},"page":"928-936","title":"Standard chemotherapy with or without bevacizumab for women with newly diagnosed ovarian cancer (ICON7): Overall survival results of a phase 3 randomised trial","type":"article-journal","volume":"16"},"uris":["http://www.mendeley.com/documents/?uuid=91304d9f-c128-413c-855b-a64365d9adf1"]},{"id":"ITEM-2","itemData":{"URL":"https://www.health.gov.il/hozer/mk01_2017.pdf","id":"ITEM-2","issued":{"date-parts":[["2017"]]},"title":"Israeli Ministry of Health, recommendations for Bevacizumab use","type":"webpage"},"uris":["http://www.mendeley.com/documents/?uuid=27475361-7cdc-4ec7-b9c9-c02c02eb2d84"]}],"mendeley":{"formattedCitation":"(5,6)","plainTextFormattedCitation":"(5,6)","previouslyFormattedCitation":"(5,6)"},"properties":{"noteIndex":0},"schema":"https://github.com/citation-style-language/schema/raw/master/csl-citation.json"}</w:instrText>
            </w:r>
            <w:r w:rsidR="00E4511C">
              <w:rPr>
                <w:rFonts w:ascii="Arial" w:eastAsia="Calibri" w:hAnsi="Arial" w:cs="Arial"/>
                <w:sz w:val="20"/>
                <w:szCs w:val="20"/>
              </w:rPr>
              <w:fldChar w:fldCharType="separate"/>
            </w:r>
            <w:r w:rsidR="00E4511C" w:rsidRPr="00E4511C">
              <w:rPr>
                <w:rFonts w:ascii="Arial" w:eastAsia="Calibri" w:hAnsi="Arial" w:cs="Arial"/>
                <w:noProof/>
                <w:sz w:val="20"/>
                <w:szCs w:val="20"/>
              </w:rPr>
              <w:t>(5,6)</w:t>
            </w:r>
            <w:r w:rsidR="00E4511C">
              <w:rPr>
                <w:rFonts w:ascii="Arial" w:eastAsia="Calibri" w:hAnsi="Arial" w:cs="Arial"/>
                <w:sz w:val="20"/>
                <w:szCs w:val="20"/>
              </w:rPr>
              <w:fldChar w:fldCharType="end"/>
            </w:r>
          </w:p>
        </w:tc>
      </w:tr>
      <w:tr w:rsidR="00E61F70" w:rsidRPr="00E61F70" w:rsidTr="006C3048">
        <w:trPr>
          <w:trHeight w:val="465"/>
        </w:trPr>
        <w:tc>
          <w:tcPr>
            <w:tcW w:w="1763" w:type="dxa"/>
          </w:tcPr>
          <w:p w:rsidR="00CA4FC7" w:rsidRPr="00E61F70" w:rsidRDefault="00CA4FC7" w:rsidP="00F74C4B">
            <w:pPr>
              <w:bidi w:val="0"/>
              <w:rPr>
                <w:rFonts w:ascii="Arial" w:eastAsia="Calibri" w:hAnsi="Arial" w:cs="Arial"/>
                <w:sz w:val="20"/>
                <w:szCs w:val="20"/>
              </w:rPr>
            </w:pPr>
            <w:r w:rsidRPr="00E61F70">
              <w:rPr>
                <w:rFonts w:ascii="Arial" w:eastAsia="Calibri" w:hAnsi="Arial" w:cs="Arial"/>
                <w:sz w:val="20"/>
                <w:szCs w:val="20"/>
              </w:rPr>
              <w:t>BRCA somatic mutation testing</w:t>
            </w:r>
          </w:p>
        </w:tc>
        <w:tc>
          <w:tcPr>
            <w:tcW w:w="842" w:type="dxa"/>
          </w:tcPr>
          <w:p w:rsidR="00CA4FC7" w:rsidRPr="00E61F70" w:rsidRDefault="00D32E4C" w:rsidP="00F74C4B">
            <w:pPr>
              <w:bidi w:val="0"/>
              <w:rPr>
                <w:rFonts w:ascii="Arial" w:eastAsia="Calibri" w:hAnsi="Arial" w:cs="Arial"/>
                <w:sz w:val="20"/>
                <w:szCs w:val="20"/>
              </w:rPr>
            </w:pPr>
            <w:r>
              <w:rPr>
                <w:rFonts w:ascii="Arial" w:eastAsia="Calibri" w:hAnsi="Arial" w:cs="Arial"/>
                <w:sz w:val="20"/>
                <w:szCs w:val="20"/>
              </w:rPr>
              <w:t>J1312</w:t>
            </w:r>
          </w:p>
        </w:tc>
        <w:tc>
          <w:tcPr>
            <w:tcW w:w="1170" w:type="dxa"/>
          </w:tcPr>
          <w:p w:rsidR="00CA4FC7" w:rsidRPr="00E61F70" w:rsidRDefault="00D32E4C" w:rsidP="00F74C4B">
            <w:pPr>
              <w:bidi w:val="0"/>
              <w:rPr>
                <w:rFonts w:ascii="Arial" w:eastAsia="Calibri" w:hAnsi="Arial" w:cs="Arial"/>
                <w:sz w:val="20"/>
                <w:szCs w:val="20"/>
                <w:rtl/>
              </w:rPr>
            </w:pPr>
            <w:r>
              <w:rPr>
                <w:rFonts w:ascii="Arial" w:eastAsia="Calibri" w:hAnsi="Arial" w:cs="Arial"/>
                <w:sz w:val="20"/>
                <w:szCs w:val="20"/>
              </w:rPr>
              <w:t>4,093</w:t>
            </w:r>
          </w:p>
        </w:tc>
        <w:tc>
          <w:tcPr>
            <w:tcW w:w="1980" w:type="dxa"/>
          </w:tcPr>
          <w:p w:rsidR="00CA4FC7" w:rsidRPr="00E61F70" w:rsidRDefault="00D32E4C" w:rsidP="00F74C4B">
            <w:pPr>
              <w:bidi w:val="0"/>
              <w:rPr>
                <w:rFonts w:ascii="Arial" w:eastAsia="Calibri" w:hAnsi="Arial" w:cs="Arial"/>
                <w:sz w:val="20"/>
                <w:szCs w:val="20"/>
              </w:rPr>
            </w:pPr>
            <w:r>
              <w:rPr>
                <w:rFonts w:ascii="Arial" w:eastAsia="Calibri" w:hAnsi="Arial" w:cs="Arial"/>
                <w:sz w:val="20"/>
                <w:szCs w:val="20"/>
              </w:rPr>
              <w:t>1</w:t>
            </w:r>
          </w:p>
        </w:tc>
        <w:tc>
          <w:tcPr>
            <w:tcW w:w="1170" w:type="dxa"/>
          </w:tcPr>
          <w:p w:rsidR="00CA4FC7" w:rsidRPr="00E61F70" w:rsidRDefault="00D32E4C" w:rsidP="00F74C4B">
            <w:pPr>
              <w:bidi w:val="0"/>
              <w:rPr>
                <w:rFonts w:ascii="Arial" w:eastAsia="Calibri" w:hAnsi="Arial" w:cs="Arial"/>
                <w:sz w:val="20"/>
                <w:szCs w:val="20"/>
              </w:rPr>
            </w:pPr>
            <w:r>
              <w:rPr>
                <w:rFonts w:ascii="Arial" w:eastAsia="Calibri" w:hAnsi="Arial" w:cs="Arial"/>
                <w:sz w:val="20"/>
                <w:szCs w:val="20"/>
              </w:rPr>
              <w:t>4,093</w:t>
            </w:r>
          </w:p>
        </w:tc>
        <w:tc>
          <w:tcPr>
            <w:tcW w:w="1800" w:type="dxa"/>
          </w:tcPr>
          <w:p w:rsidR="00CA4FC7" w:rsidRPr="00E61F70" w:rsidRDefault="00CA4FC7" w:rsidP="00E62EBF">
            <w:pPr>
              <w:bidi w:val="0"/>
              <w:rPr>
                <w:rFonts w:ascii="Arial" w:eastAsia="Calibri" w:hAnsi="Arial" w:cs="Arial"/>
                <w:sz w:val="20"/>
                <w:szCs w:val="20"/>
              </w:rPr>
            </w:pPr>
          </w:p>
        </w:tc>
      </w:tr>
      <w:tr w:rsidR="00E61F70" w:rsidRPr="00E61F70" w:rsidTr="006C3048">
        <w:trPr>
          <w:trHeight w:val="1605"/>
        </w:trPr>
        <w:tc>
          <w:tcPr>
            <w:tcW w:w="1763" w:type="dxa"/>
          </w:tcPr>
          <w:p w:rsidR="004F4C94" w:rsidRPr="00E61F70" w:rsidRDefault="004F4C94" w:rsidP="00F106F6">
            <w:pPr>
              <w:bidi w:val="0"/>
              <w:rPr>
                <w:rFonts w:ascii="Arial" w:eastAsia="Calibri" w:hAnsi="Arial" w:cs="Arial"/>
                <w:sz w:val="20"/>
                <w:szCs w:val="20"/>
              </w:rPr>
            </w:pPr>
            <w:proofErr w:type="spellStart"/>
            <w:r w:rsidRPr="00E61F70">
              <w:rPr>
                <w:rFonts w:ascii="Arial" w:eastAsia="Calibri" w:hAnsi="Arial" w:cs="Arial"/>
                <w:sz w:val="20"/>
                <w:szCs w:val="20"/>
              </w:rPr>
              <w:t>Lynparza</w:t>
            </w:r>
            <w:proofErr w:type="spellEnd"/>
            <w:r w:rsidR="00C57211" w:rsidRPr="00E61F70">
              <w:rPr>
                <w:rFonts w:ascii="Arial" w:eastAsia="Calibri" w:hAnsi="Arial" w:cs="Arial"/>
                <w:sz w:val="20"/>
                <w:szCs w:val="20"/>
              </w:rPr>
              <w:t xml:space="preserve"> as maintenance therapy for first line BRCA positive patients</w:t>
            </w:r>
          </w:p>
        </w:tc>
        <w:tc>
          <w:tcPr>
            <w:tcW w:w="842" w:type="dxa"/>
          </w:tcPr>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7618</w:t>
            </w:r>
          </w:p>
        </w:tc>
        <w:tc>
          <w:tcPr>
            <w:tcW w:w="1170" w:type="dxa"/>
          </w:tcPr>
          <w:p w:rsidR="004F4C94" w:rsidRPr="00E61F70" w:rsidRDefault="004F4C94" w:rsidP="00C87C38">
            <w:pPr>
              <w:bidi w:val="0"/>
              <w:rPr>
                <w:rFonts w:ascii="Arial" w:eastAsia="Calibri" w:hAnsi="Arial" w:cs="Arial"/>
                <w:sz w:val="20"/>
                <w:szCs w:val="20"/>
                <w:rtl/>
              </w:rPr>
            </w:pPr>
            <w:r w:rsidRPr="00E61F70">
              <w:rPr>
                <w:rFonts w:ascii="Arial" w:eastAsia="Calibri" w:hAnsi="Arial" w:cs="Arial"/>
                <w:sz w:val="20"/>
                <w:szCs w:val="20"/>
              </w:rPr>
              <w:t xml:space="preserve">600mg/day for </w:t>
            </w:r>
            <w:r w:rsidR="00C87C38">
              <w:rPr>
                <w:rFonts w:ascii="Arial" w:eastAsia="Calibri" w:hAnsi="Arial" w:cs="Arial"/>
                <w:sz w:val="20"/>
                <w:szCs w:val="20"/>
              </w:rPr>
              <w:t>24</w:t>
            </w:r>
            <w:r w:rsidRPr="00E61F70">
              <w:rPr>
                <w:rFonts w:ascii="Arial" w:eastAsia="Calibri" w:hAnsi="Arial" w:cs="Arial"/>
                <w:sz w:val="20"/>
                <w:szCs w:val="20"/>
              </w:rPr>
              <w:t xml:space="preserve"> months </w:t>
            </w:r>
          </w:p>
        </w:tc>
        <w:tc>
          <w:tcPr>
            <w:tcW w:w="1980" w:type="dxa"/>
          </w:tcPr>
          <w:p w:rsidR="004F4C94" w:rsidRPr="00E61F70" w:rsidRDefault="004D42B8" w:rsidP="004D42B8">
            <w:pPr>
              <w:bidi w:val="0"/>
              <w:rPr>
                <w:rFonts w:ascii="Arial" w:eastAsia="Calibri" w:hAnsi="Arial" w:cs="Arial"/>
                <w:sz w:val="20"/>
                <w:szCs w:val="20"/>
              </w:rPr>
            </w:pPr>
            <w:r>
              <w:rPr>
                <w:rFonts w:ascii="Arial" w:eastAsia="Calibri" w:hAnsi="Arial" w:cs="Arial"/>
                <w:sz w:val="20"/>
                <w:szCs w:val="20"/>
              </w:rPr>
              <w:t>25,587</w:t>
            </w:r>
            <w:r w:rsidR="004F4C94" w:rsidRPr="00E61F70">
              <w:rPr>
                <w:rFonts w:ascii="Arial" w:eastAsia="Calibri" w:hAnsi="Arial" w:cs="Arial"/>
                <w:sz w:val="20"/>
                <w:szCs w:val="20"/>
              </w:rPr>
              <w:t>/month*</w:t>
            </w:r>
            <w:r w:rsidR="00C87C38">
              <w:rPr>
                <w:rFonts w:ascii="Arial" w:eastAsia="Calibri" w:hAnsi="Arial" w:cs="Arial"/>
                <w:sz w:val="20"/>
                <w:szCs w:val="20"/>
              </w:rPr>
              <w:t>24</w:t>
            </w:r>
            <w:r w:rsidR="00C57211" w:rsidRPr="00E61F70">
              <w:rPr>
                <w:rFonts w:ascii="Arial" w:eastAsia="Calibri" w:hAnsi="Arial" w:cs="Arial"/>
                <w:sz w:val="20"/>
                <w:szCs w:val="20"/>
              </w:rPr>
              <w:t xml:space="preserve"> months for </w:t>
            </w:r>
            <w:r w:rsidR="00AD7CC2">
              <w:rPr>
                <w:rFonts w:ascii="Arial" w:eastAsia="Calibri" w:hAnsi="Arial" w:cs="Arial"/>
                <w:sz w:val="20"/>
                <w:szCs w:val="20"/>
              </w:rPr>
              <w:t>3</w:t>
            </w:r>
            <w:r w:rsidR="004F4C94" w:rsidRPr="00E61F70">
              <w:rPr>
                <w:rFonts w:ascii="Arial" w:eastAsia="Calibri" w:hAnsi="Arial" w:cs="Arial"/>
                <w:sz w:val="20"/>
                <w:szCs w:val="20"/>
              </w:rPr>
              <w:t>0% BRCA positive</w:t>
            </w:r>
            <w:r>
              <w:rPr>
                <w:rFonts w:ascii="Arial" w:eastAsia="Calibri" w:hAnsi="Arial" w:cs="Arial"/>
                <w:sz w:val="20"/>
                <w:szCs w:val="20"/>
              </w:rPr>
              <w:t xml:space="preserve"> patients, 28% dose reduction</w:t>
            </w:r>
          </w:p>
        </w:tc>
        <w:tc>
          <w:tcPr>
            <w:tcW w:w="1170" w:type="dxa"/>
          </w:tcPr>
          <w:p w:rsidR="004F4C94" w:rsidRPr="00E61F70" w:rsidRDefault="004D42B8" w:rsidP="00F74C4B">
            <w:pPr>
              <w:bidi w:val="0"/>
              <w:rPr>
                <w:rFonts w:ascii="Arial" w:eastAsia="Calibri" w:hAnsi="Arial" w:cs="Arial"/>
                <w:sz w:val="20"/>
                <w:szCs w:val="20"/>
              </w:rPr>
            </w:pPr>
            <w:r>
              <w:rPr>
                <w:rFonts w:ascii="Arial" w:eastAsia="Calibri" w:hAnsi="Arial" w:cs="Arial"/>
                <w:sz w:val="20"/>
                <w:szCs w:val="20"/>
              </w:rPr>
              <w:t>184,230</w:t>
            </w:r>
          </w:p>
        </w:tc>
        <w:tc>
          <w:tcPr>
            <w:tcW w:w="1800" w:type="dxa"/>
          </w:tcPr>
          <w:p w:rsidR="004F4C94" w:rsidRPr="00E61F70" w:rsidRDefault="004F4C94" w:rsidP="00D907AB">
            <w:pPr>
              <w:bidi w:val="0"/>
              <w:rPr>
                <w:rFonts w:ascii="Arial" w:eastAsia="Calibri" w:hAnsi="Arial" w:cs="Arial"/>
                <w:sz w:val="20"/>
                <w:szCs w:val="20"/>
              </w:rPr>
            </w:pPr>
            <w:r w:rsidRPr="00E61F70">
              <w:rPr>
                <w:rFonts w:ascii="Arial" w:eastAsia="Calibri" w:hAnsi="Arial" w:cs="Arial"/>
                <w:sz w:val="20"/>
                <w:szCs w:val="20"/>
              </w:rPr>
              <w:t xml:space="preserve">Average </w:t>
            </w:r>
            <w:r w:rsidR="00C87C38">
              <w:rPr>
                <w:rFonts w:ascii="Arial" w:eastAsia="Calibri" w:hAnsi="Arial" w:cs="Arial"/>
                <w:sz w:val="20"/>
                <w:szCs w:val="20"/>
              </w:rPr>
              <w:t>24</w:t>
            </w:r>
            <w:r w:rsidRPr="00E61F70">
              <w:rPr>
                <w:rFonts w:ascii="Arial" w:eastAsia="Calibri" w:hAnsi="Arial" w:cs="Arial"/>
                <w:sz w:val="20"/>
                <w:szCs w:val="20"/>
              </w:rPr>
              <w:t xml:space="preserve"> months </w:t>
            </w:r>
            <w:r w:rsidR="00BA7513">
              <w:rPr>
                <w:rFonts w:ascii="Arial" w:eastAsia="Calibri" w:hAnsi="Arial" w:cs="Arial"/>
                <w:sz w:val="20"/>
                <w:szCs w:val="20"/>
              </w:rPr>
              <w:t xml:space="preserve">treatment </w:t>
            </w:r>
            <w:r w:rsidR="00D907AB">
              <w:rPr>
                <w:rFonts w:ascii="Arial" w:eastAsia="Calibri" w:hAnsi="Arial" w:cs="Arial"/>
                <w:sz w:val="20"/>
                <w:szCs w:val="20"/>
              </w:rPr>
              <w:t xml:space="preserve">for </w:t>
            </w:r>
            <w:r w:rsidR="00C87C38">
              <w:rPr>
                <w:rFonts w:ascii="Arial" w:eastAsia="Calibri" w:hAnsi="Arial" w:cs="Arial"/>
                <w:sz w:val="20"/>
                <w:szCs w:val="20"/>
              </w:rPr>
              <w:t>30% BRCA positive</w:t>
            </w:r>
            <w:r w:rsidR="00D907AB">
              <w:rPr>
                <w:rFonts w:ascii="Arial" w:eastAsia="Calibri" w:hAnsi="Arial" w:cs="Arial"/>
                <w:sz w:val="20"/>
                <w:szCs w:val="20"/>
              </w:rPr>
              <w:t xml:space="preserve"> </w:t>
            </w:r>
            <w:r w:rsidR="00D907AB">
              <w:rPr>
                <w:rFonts w:ascii="Arial" w:eastAsia="Calibri" w:hAnsi="Arial" w:cs="Arial"/>
                <w:sz w:val="20"/>
                <w:szCs w:val="20"/>
              </w:rPr>
              <w:fldChar w:fldCharType="begin" w:fldLock="1"/>
            </w:r>
            <w:r w:rsidR="00D907AB">
              <w:rPr>
                <w:rFonts w:ascii="Arial" w:eastAsia="Calibri" w:hAnsi="Arial" w:cs="Arial"/>
                <w:sz w:val="20"/>
                <w:szCs w:val="20"/>
              </w:rPr>
              <w:instrText>ADDIN CSL_CITATION {"citationItems":[{"id":"ITEM-1","itemData":{"DOI":"10.1056/NEJMoa1911361","ISSN":"0028-4793","abstract":"BACKGROUND: Olaparib has shown significant clinical benefit as maintenance therapy in women with newly diagnosed advanced ovarian cancer with a BRCA mutation. The effect of combining maintenance olaparib and bevacizumab in patients regardless of BRCA mutation status is unknown. METHODS: We conducted a randomized, double-blind, international phase 3 trial. Eligible patients had newly diagnosed, advanced, high-grade ovarian cancer and were having a response after first-line platinum-taxane chemotherapy plus bevacizumab. Patients were eligible regardless of surgical outcome or BRCA mutation status. Patients were randomly assigned in a 2:1 ratio to receive olaparib tablets (300 mg twice daily) or placebo for up to 24 months; all the patients received bevacizumab at a dose of 15 mg per kilogram of body weight every 3 weeks for up to 15 months in total. The primary end point was the time from randomization until investigator-assessed disease progression or death. RESULTS: Of the 806 patients who underwent randomization, 537 were assigned to receive olaparib and 269 to receive placebo. After a median follow-up of 22.9 months, the median progression-free survival was 22.1 months with olaparib plus bevacizumab and 16.6 months with placebo plus bevacizumab (hazard ratio for disease progression or death, 0.59; 95% confidence interval [CI], 0.49 to 0.72; P&lt;0.001). The hazard ratio (olaparib group vs. placebo group) for disease progression or death was 0.33 (95% CI, 0.25 to 0.45) in patients with tumors positive for homologous-recombination deficiency (HRD), including tumors that had BRCA mutations (median progression-free survival, 37.2 vs. 17.7 months), and 0.43 (95% CI, 0.28 to 0.66) in patients with HRD-positive tumors that did not have BRCA mutations (median progression-free survival, 28.1 vs. 16.6 months). Adverse events were consistent with the established safety profiles of olaparib and bevacizumab. CONCLUSIONS: In patients with advanced ovarian cancer receiving first-line standard therapy including bevacizumab, the addition of maintenance olaparib provided a significant progression-free survival benefit, which was substantial in patients with HRD-positive tumors, including those without a BRCA mutation.","author":[{"dropping-particle":"","family":"Ray-Coquard","given":"Isabelle","non-dropping-particle":"","parse-names":false,"suffix":""},{"dropping-particle":"","family":"Pautier","given":"Patricia","non-dropping-particle":"","parse-names":false,"suffix":""},{"dropping-particle":"","family":"Pignata","given":"Sandro","non-dropping-particle":"","parse-names":false,"suffix":""},{"dropping-particle":"","family":"Pérol","given":"David","non-dropping-particle":"","parse-names":false,"suffix":""},{"dropping-particle":"","family":"González-Martín","given":"Antonio","non-dropping-particle":"","parse-names":false,"suffix":""},{"dropping-particle":"","family":"Berger","given":"Regina","non-dropping-particle":"","parse-names":false,"suffix":""},{"dropping-particle":"","family":"Fujiwara","given":"Keiichi","non-dropping-particle":"","parse-names":false,"suffix":""},{"dropping-particle":"","family":"Vergote","given":"Ignace","non-dropping-particle":"","parse-names":false,"suffix":""},{"dropping-particle":"","family":"Colombo","given":"Nicoletta","non-dropping-particle":"","parse-names":false,"suffix":""},{"dropping-particle":"","family":"Mäenpää","given":"Johanna","non-dropping-particle":"","parse-names":false,"suffix":""},{"dropping-particle":"","family":"Selle","given":"Frédéric","non-dropping-particle":"","parse-names":false,"suffix":""},{"dropping-particle":"","family":"Sehouli","given":"Jalid","non-dropping-particle":"","parse-names":false,"suffix":""},{"dropping-particle":"","family":"Lorusso","given":"Domenica","non-dropping-particle":"","parse-names":false,"suffix":""},{"dropping-particle":"","family":"Guerra Alía","given":"Eva M.","non-dropping-particle":"","parse-names":false,"suffix":""},{"dropping-particle":"","family":"Reinthaller","given":"Alexander","non-dropping-particle":"","parse-names":false,"suffix":""},{"dropping-particle":"","family":"Nagao","given":"Shoji","non-dropping-particle":"","parse-names":false,"suffix":""},{"dropping-particle":"","family":"Lefeuvre-Plesse","given":"Claudia","non-dropping-particle":"","parse-names":false,"suffix":""},{"dropping-particle":"","family":"Canzler","given":"Ulrich","non-dropping-particle":"","parse-names":false,"suffix":""},{"dropping-particle":"","family":"Scambia","given":"Giovanni","non-dropping-particle":"","parse-names":false,"suffix":""},{"dropping-particle":"","family":"Lortholary","given":"Alain","non-dropping-particle":"","parse-names":false,"suffix":""},{"dropping-particle":"","family":"Marmé","given":"Frederik","non-dropping-particle":"","parse-names":false,"suffix":""},{"dropping-particle":"","family":"Combe","given":"Pierre","non-dropping-particle":"","parse-names":false,"suffix":""},{"dropping-particle":"","family":"Gregorio","given":"Nikolaus","non-dropping-particle":"de","parse-names":false,"suffix":""},{"dropping-particle":"","family":"Rodrigues","given":"Manuel","non-dropping-particle":"","parse-names":false,"suffix":""},{"dropping-particle":"","family":"Buderath","given":"Paul","non-dropping-particle":"","parse-names":false,"suffix":""},{"dropping-particle":"","family":"Dubot","given":"Coraline","non-dropping-particle":"","parse-names":false,"suffix":""},{"dropping-particle":"","family":"Burges","given":"Alexander","non-dropping-particle":"","parse-names":false,"suffix":""},{"dropping-particle":"","family":"You","given":"Benoît","non-dropping-particle":"","parse-names":false,"suffix":""},{"dropping-particle":"","family":"Pujade-Lauraine","given":"Eric","non-dropping-particle":"","parse-names":false,"suffix":""},{"dropping-particle":"","family":"Harter","given":"Philipp","non-dropping-particle":"","parse-names":false,"suffix":""}],"container-title":"New England Journal of Medicine","id":"ITEM-1","issue":"25","issued":{"date-parts":[["2019","12","19"]]},"page":"2416-2428","publisher":"Massachussetts Medical Society","title":"Olaparib plus Bevacizumab as First-Line Maintenance in Ovarian Cancer","type":"article-journal","volume":"381"},"uris":["http://www.mendeley.com/documents/?uuid=9c5e8c83-d635-38ac-ad2b-25238a30d999"]}],"mendeley":{"formattedCitation":"(7)","plainTextFormattedCitation":"(7)"},"properties":{"noteIndex":0},"schema":"https://github.com/citation-style-language/schema/raw/master/csl-citation.json"}</w:instrText>
            </w:r>
            <w:r w:rsidR="00D907AB">
              <w:rPr>
                <w:rFonts w:ascii="Arial" w:eastAsia="Calibri" w:hAnsi="Arial" w:cs="Arial"/>
                <w:sz w:val="20"/>
                <w:szCs w:val="20"/>
              </w:rPr>
              <w:fldChar w:fldCharType="separate"/>
            </w:r>
            <w:r w:rsidR="00D907AB" w:rsidRPr="00D907AB">
              <w:rPr>
                <w:rFonts w:ascii="Arial" w:eastAsia="Calibri" w:hAnsi="Arial" w:cs="Arial"/>
                <w:noProof/>
                <w:sz w:val="20"/>
                <w:szCs w:val="20"/>
              </w:rPr>
              <w:t>(7)</w:t>
            </w:r>
            <w:r w:rsidR="00D907AB">
              <w:rPr>
                <w:rFonts w:ascii="Arial" w:eastAsia="Calibri" w:hAnsi="Arial" w:cs="Arial"/>
                <w:sz w:val="20"/>
                <w:szCs w:val="20"/>
              </w:rPr>
              <w:fldChar w:fldCharType="end"/>
            </w:r>
          </w:p>
        </w:tc>
      </w:tr>
      <w:tr w:rsidR="00E61F70" w:rsidRPr="00E61F70" w:rsidTr="006C3048">
        <w:trPr>
          <w:trHeight w:val="923"/>
        </w:trPr>
        <w:tc>
          <w:tcPr>
            <w:tcW w:w="1763" w:type="dxa"/>
          </w:tcPr>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Average terminal care for cancer patients (last 6 months)</w:t>
            </w:r>
          </w:p>
        </w:tc>
        <w:tc>
          <w:tcPr>
            <w:tcW w:w="842" w:type="dxa"/>
          </w:tcPr>
          <w:p w:rsidR="004F4C94" w:rsidRPr="00E61F70" w:rsidRDefault="004F4C94" w:rsidP="00F74C4B">
            <w:pPr>
              <w:bidi w:val="0"/>
              <w:rPr>
                <w:rFonts w:ascii="Arial" w:eastAsia="Calibri" w:hAnsi="Arial" w:cs="Arial"/>
                <w:sz w:val="20"/>
                <w:szCs w:val="20"/>
              </w:rPr>
            </w:pPr>
          </w:p>
        </w:tc>
        <w:tc>
          <w:tcPr>
            <w:tcW w:w="1170" w:type="dxa"/>
          </w:tcPr>
          <w:p w:rsidR="004F4C94" w:rsidRPr="00E61F70" w:rsidRDefault="00063BE6" w:rsidP="00F74C4B">
            <w:pPr>
              <w:bidi w:val="0"/>
              <w:rPr>
                <w:rFonts w:ascii="Arial" w:eastAsia="Calibri" w:hAnsi="Arial" w:cs="Arial"/>
                <w:sz w:val="20"/>
                <w:szCs w:val="20"/>
              </w:rPr>
            </w:pPr>
            <w:r w:rsidRPr="00063BE6">
              <w:rPr>
                <w:rFonts w:asciiTheme="minorBidi" w:eastAsia="Calibri" w:hAnsiTheme="minorBidi"/>
                <w:sz w:val="24"/>
                <w:szCs w:val="24"/>
              </w:rPr>
              <w:t>63,586</w:t>
            </w:r>
          </w:p>
        </w:tc>
        <w:tc>
          <w:tcPr>
            <w:tcW w:w="1980" w:type="dxa"/>
          </w:tcPr>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1 (for 70% of patients)</w:t>
            </w:r>
          </w:p>
          <w:p w:rsidR="004F4C94" w:rsidRPr="00E61F70" w:rsidRDefault="004F4C94" w:rsidP="00F74C4B">
            <w:pPr>
              <w:bidi w:val="0"/>
              <w:rPr>
                <w:rFonts w:ascii="Arial" w:eastAsia="Calibri" w:hAnsi="Arial" w:cs="Arial"/>
                <w:sz w:val="20"/>
                <w:szCs w:val="20"/>
              </w:rPr>
            </w:pPr>
          </w:p>
        </w:tc>
        <w:tc>
          <w:tcPr>
            <w:tcW w:w="1170" w:type="dxa"/>
          </w:tcPr>
          <w:p w:rsidR="004F4C94" w:rsidRPr="00E61F70" w:rsidRDefault="00063BE6" w:rsidP="00F74C4B">
            <w:pPr>
              <w:bidi w:val="0"/>
              <w:rPr>
                <w:rFonts w:ascii="Arial" w:eastAsia="Calibri" w:hAnsi="Arial" w:cs="Arial"/>
                <w:sz w:val="20"/>
                <w:szCs w:val="20"/>
                <w:rtl/>
              </w:rPr>
            </w:pPr>
            <w:r>
              <w:rPr>
                <w:rFonts w:ascii="Arial" w:eastAsia="Calibri" w:hAnsi="Arial" w:cs="Arial"/>
                <w:sz w:val="20"/>
                <w:szCs w:val="20"/>
              </w:rPr>
              <w:t>44,510</w:t>
            </w:r>
          </w:p>
        </w:tc>
        <w:tc>
          <w:tcPr>
            <w:tcW w:w="1800" w:type="dxa"/>
          </w:tcPr>
          <w:p w:rsidR="004F4C94" w:rsidRPr="00E61F70" w:rsidRDefault="004F4C94" w:rsidP="00A13453">
            <w:pPr>
              <w:bidi w:val="0"/>
              <w:rPr>
                <w:rFonts w:ascii="Arial" w:eastAsia="Calibri" w:hAnsi="Arial" w:cs="Arial"/>
                <w:sz w:val="20"/>
                <w:szCs w:val="20"/>
              </w:rPr>
            </w:pPr>
            <w:r w:rsidRPr="00E61F70">
              <w:rPr>
                <w:rFonts w:ascii="Arial" w:eastAsia="Calibri" w:hAnsi="Arial" w:cs="Arial"/>
                <w:sz w:val="20"/>
                <w:szCs w:val="20"/>
              </w:rPr>
              <w:t>Assuming all relapsed patients succumb to their disease</w:t>
            </w:r>
            <w:r w:rsidR="00E4511C">
              <w:rPr>
                <w:rFonts w:ascii="Arial" w:eastAsia="Calibri" w:hAnsi="Arial" w:cs="Arial"/>
                <w:sz w:val="20"/>
                <w:szCs w:val="20"/>
              </w:rPr>
              <w:t xml:space="preserve"> </w:t>
            </w:r>
            <w:r w:rsidR="00A13453">
              <w:rPr>
                <w:rFonts w:ascii="Arial" w:eastAsia="Calibri" w:hAnsi="Arial" w:cs="Arial"/>
                <w:sz w:val="20"/>
                <w:szCs w:val="20"/>
              </w:rPr>
              <w:fldChar w:fldCharType="begin" w:fldLock="1"/>
            </w:r>
            <w:r w:rsidR="00D907AB">
              <w:rPr>
                <w:rFonts w:ascii="Arial" w:eastAsia="Calibri" w:hAnsi="Arial" w:cs="Arial"/>
                <w:sz w:val="20"/>
                <w:szCs w:val="20"/>
              </w:rPr>
              <w:instrText>ADDIN CSL_CITATION {"citationItems":[{"id":"ITEM-1","itemData":{"URL":"https://brookdale.jdc.org.il/wp-content/uploads/2018/01/Quality_and_cost_Report_HEB.pdf","accessed":{"date-parts":[["2020","9","26"]]},"author":[{"dropping-particle":"","family":"Bentor N","given":"Raznitzky S, Tsanani TA, Balitser R.","non-dropping-particle":"","parse-names":false,"suffix":""}],"container-title":"Myers-JDC-Brookdale Institute","id":"ITEM-1","issued":{"date-parts":[["2014","1","14"]]},"title":"Use of end of life care, quality and costs of patients that have died from metastatic cancer","type":"webpage"},"uris":["http://www.mendeley.com/documents/?uuid=d5cbf0e1-0d33-3c00-845c-a6fe696716e1"]}],"mendeley":{"formattedCitation":"(8)","plainTextFormattedCitation":"(8)","previouslyFormattedCitation":"(7)"},"properties":{"noteIndex":0},"schema":"https://github.com/citation-style-language/schema/raw/master/csl-citation.json"}</w:instrText>
            </w:r>
            <w:r w:rsidR="00A13453">
              <w:rPr>
                <w:rFonts w:ascii="Arial" w:eastAsia="Calibri" w:hAnsi="Arial" w:cs="Arial"/>
                <w:sz w:val="20"/>
                <w:szCs w:val="20"/>
              </w:rPr>
              <w:fldChar w:fldCharType="separate"/>
            </w:r>
            <w:r w:rsidR="00D907AB" w:rsidRPr="00D907AB">
              <w:rPr>
                <w:rFonts w:ascii="Arial" w:eastAsia="Calibri" w:hAnsi="Arial" w:cs="Arial"/>
                <w:noProof/>
                <w:sz w:val="20"/>
                <w:szCs w:val="20"/>
              </w:rPr>
              <w:t>(8)</w:t>
            </w:r>
            <w:r w:rsidR="00A13453">
              <w:rPr>
                <w:rFonts w:ascii="Arial" w:eastAsia="Calibri" w:hAnsi="Arial" w:cs="Arial"/>
                <w:sz w:val="20"/>
                <w:szCs w:val="20"/>
              </w:rPr>
              <w:fldChar w:fldCharType="end"/>
            </w:r>
          </w:p>
        </w:tc>
      </w:tr>
      <w:tr w:rsidR="00E61F70" w:rsidRPr="00E61F70" w:rsidTr="006C3048">
        <w:trPr>
          <w:trHeight w:val="502"/>
        </w:trPr>
        <w:tc>
          <w:tcPr>
            <w:tcW w:w="1763" w:type="dxa"/>
          </w:tcPr>
          <w:p w:rsidR="004F4C94" w:rsidRPr="00E61F70" w:rsidRDefault="004F4C94" w:rsidP="00F74C4B">
            <w:pPr>
              <w:bidi w:val="0"/>
              <w:rPr>
                <w:rFonts w:ascii="Arial" w:eastAsia="Calibri" w:hAnsi="Arial" w:cs="Arial"/>
                <w:sz w:val="20"/>
                <w:szCs w:val="20"/>
              </w:rPr>
            </w:pPr>
            <w:r w:rsidRPr="00E61F70">
              <w:rPr>
                <w:rFonts w:ascii="Arial" w:eastAsia="Calibri" w:hAnsi="Arial" w:cs="Arial"/>
                <w:sz w:val="20"/>
                <w:szCs w:val="20"/>
              </w:rPr>
              <w:t>Total cost</w:t>
            </w:r>
          </w:p>
        </w:tc>
        <w:tc>
          <w:tcPr>
            <w:tcW w:w="842" w:type="dxa"/>
          </w:tcPr>
          <w:p w:rsidR="004F4C94" w:rsidRPr="00E61F70" w:rsidRDefault="004F4C94" w:rsidP="00F74C4B">
            <w:pPr>
              <w:bidi w:val="0"/>
              <w:rPr>
                <w:rFonts w:ascii="Arial" w:eastAsia="Calibri" w:hAnsi="Arial" w:cs="Arial"/>
                <w:sz w:val="20"/>
                <w:szCs w:val="20"/>
              </w:rPr>
            </w:pPr>
          </w:p>
        </w:tc>
        <w:tc>
          <w:tcPr>
            <w:tcW w:w="1170" w:type="dxa"/>
          </w:tcPr>
          <w:p w:rsidR="004F4C94" w:rsidRPr="00E61F70" w:rsidRDefault="004F4C94" w:rsidP="00F74C4B">
            <w:pPr>
              <w:bidi w:val="0"/>
              <w:rPr>
                <w:rFonts w:ascii="Arial" w:eastAsia="Calibri" w:hAnsi="Arial" w:cs="Arial"/>
                <w:sz w:val="20"/>
                <w:szCs w:val="20"/>
              </w:rPr>
            </w:pPr>
          </w:p>
        </w:tc>
        <w:tc>
          <w:tcPr>
            <w:tcW w:w="1980" w:type="dxa"/>
          </w:tcPr>
          <w:p w:rsidR="004F4C94" w:rsidRPr="00E61F70" w:rsidRDefault="004F4C94" w:rsidP="00F74C4B">
            <w:pPr>
              <w:bidi w:val="0"/>
              <w:rPr>
                <w:rFonts w:ascii="Arial" w:eastAsia="Calibri" w:hAnsi="Arial" w:cs="Arial"/>
                <w:sz w:val="20"/>
                <w:szCs w:val="20"/>
              </w:rPr>
            </w:pPr>
          </w:p>
        </w:tc>
        <w:tc>
          <w:tcPr>
            <w:tcW w:w="1170" w:type="dxa"/>
          </w:tcPr>
          <w:p w:rsidR="004F4C94" w:rsidRPr="00E61F70" w:rsidRDefault="00436E04" w:rsidP="00F74C4B">
            <w:pPr>
              <w:bidi w:val="0"/>
              <w:rPr>
                <w:rFonts w:ascii="Arial" w:eastAsia="Calibri" w:hAnsi="Arial" w:cs="Arial"/>
                <w:sz w:val="20"/>
                <w:szCs w:val="20"/>
                <w:rtl/>
              </w:rPr>
            </w:pPr>
            <w:r>
              <w:rPr>
                <w:rFonts w:ascii="Arial" w:eastAsia="Calibri" w:hAnsi="Arial" w:cs="Arial"/>
                <w:sz w:val="20"/>
                <w:szCs w:val="20"/>
              </w:rPr>
              <w:t>495,353</w:t>
            </w:r>
          </w:p>
        </w:tc>
        <w:tc>
          <w:tcPr>
            <w:tcW w:w="1800" w:type="dxa"/>
          </w:tcPr>
          <w:p w:rsidR="004F4C94" w:rsidRPr="00E61F70" w:rsidRDefault="004F4C94" w:rsidP="00F74C4B">
            <w:pPr>
              <w:bidi w:val="0"/>
              <w:rPr>
                <w:rFonts w:ascii="Arial" w:eastAsia="Calibri" w:hAnsi="Arial" w:cs="Arial"/>
                <w:sz w:val="20"/>
                <w:szCs w:val="20"/>
              </w:rPr>
            </w:pPr>
          </w:p>
        </w:tc>
      </w:tr>
    </w:tbl>
    <w:p w:rsidR="00BE7EAA" w:rsidRPr="00E61F70" w:rsidRDefault="006C3048" w:rsidP="000E3286">
      <w:pPr>
        <w:widowControl w:val="0"/>
        <w:autoSpaceDE w:val="0"/>
        <w:autoSpaceDN w:val="0"/>
        <w:bidi w:val="0"/>
        <w:adjustRightInd w:val="0"/>
        <w:spacing w:line="240" w:lineRule="auto"/>
        <w:rPr>
          <w:rFonts w:asciiTheme="minorBidi" w:hAnsiTheme="minorBidi"/>
          <w:sz w:val="20"/>
          <w:szCs w:val="20"/>
        </w:rPr>
      </w:pPr>
      <w:r>
        <w:rPr>
          <w:rFonts w:asciiTheme="minorBidi" w:hAnsiTheme="minorBidi"/>
          <w:sz w:val="20"/>
          <w:szCs w:val="20"/>
        </w:rPr>
        <w:t xml:space="preserve">IMH: </w:t>
      </w:r>
      <w:r w:rsidR="000E3286" w:rsidRPr="00E61F70">
        <w:rPr>
          <w:rFonts w:asciiTheme="minorBidi" w:hAnsiTheme="minorBidi"/>
          <w:sz w:val="20"/>
          <w:szCs w:val="20"/>
        </w:rPr>
        <w:t>Israeli ministry of health</w:t>
      </w:r>
      <w:r>
        <w:rPr>
          <w:rFonts w:asciiTheme="minorBidi" w:hAnsiTheme="minorBidi"/>
          <w:sz w:val="20"/>
          <w:szCs w:val="20"/>
        </w:rPr>
        <w:t xml:space="preserve">, NIS: </w:t>
      </w:r>
      <w:r w:rsidRPr="00E61F70">
        <w:rPr>
          <w:rFonts w:ascii="Arial" w:eastAsia="Calibri" w:hAnsi="Arial" w:cs="Arial"/>
          <w:sz w:val="20"/>
          <w:szCs w:val="20"/>
        </w:rPr>
        <w:t>New Israeli shekels</w:t>
      </w:r>
      <w:bookmarkStart w:id="0" w:name="_GoBack"/>
      <w:bookmarkEnd w:id="0"/>
    </w:p>
    <w:p w:rsidR="00D907AB" w:rsidRPr="00D907AB" w:rsidRDefault="009C7E4E" w:rsidP="00D907AB">
      <w:pPr>
        <w:widowControl w:val="0"/>
        <w:autoSpaceDE w:val="0"/>
        <w:autoSpaceDN w:val="0"/>
        <w:bidi w:val="0"/>
        <w:adjustRightInd w:val="0"/>
        <w:spacing w:line="240" w:lineRule="auto"/>
        <w:ind w:left="640" w:hanging="640"/>
        <w:rPr>
          <w:rFonts w:ascii="Calibri" w:hAnsi="Calibri" w:cs="Calibri"/>
          <w:noProof/>
          <w:sz w:val="20"/>
          <w:szCs w:val="24"/>
        </w:rPr>
      </w:pPr>
      <w:r w:rsidRPr="00E61F70">
        <w:rPr>
          <w:sz w:val="20"/>
          <w:szCs w:val="20"/>
          <w:rtl/>
        </w:rPr>
        <w:fldChar w:fldCharType="begin" w:fldLock="1"/>
      </w:r>
      <w:r w:rsidRPr="00E61F70">
        <w:rPr>
          <w:sz w:val="20"/>
          <w:szCs w:val="20"/>
        </w:rPr>
        <w:instrText xml:space="preserve">ADDIN Mendeley Bibliography CSL_BIBLIOGRAPHY </w:instrText>
      </w:r>
      <w:r w:rsidRPr="00E61F70">
        <w:rPr>
          <w:sz w:val="20"/>
          <w:szCs w:val="20"/>
          <w:rtl/>
        </w:rPr>
        <w:fldChar w:fldCharType="separate"/>
      </w:r>
      <w:r w:rsidR="00D907AB" w:rsidRPr="00D907AB">
        <w:rPr>
          <w:rFonts w:ascii="Calibri" w:hAnsi="Calibri" w:cs="Calibri"/>
          <w:noProof/>
          <w:sz w:val="20"/>
          <w:szCs w:val="24"/>
        </w:rPr>
        <w:t xml:space="preserve">1. </w:t>
      </w:r>
      <w:r w:rsidR="00D907AB" w:rsidRPr="00D907AB">
        <w:rPr>
          <w:rFonts w:ascii="Calibri" w:hAnsi="Calibri" w:cs="Calibri"/>
          <w:noProof/>
          <w:sz w:val="20"/>
          <w:szCs w:val="24"/>
        </w:rPr>
        <w:tab/>
        <w:t>Ministry of Health pricing list, 2020 [Internet]. 2020 [cited 2020 Oct 15]. Available from: https://www.health.gov.il/Subjects/Finance/Taarifon/Pages/PriceList.aspx</w:t>
      </w:r>
    </w:p>
    <w:p w:rsidR="00D907AB" w:rsidRPr="00D907AB" w:rsidRDefault="00D907AB" w:rsidP="00D907AB">
      <w:pPr>
        <w:widowControl w:val="0"/>
        <w:autoSpaceDE w:val="0"/>
        <w:autoSpaceDN w:val="0"/>
        <w:bidi w:val="0"/>
        <w:adjustRightInd w:val="0"/>
        <w:spacing w:line="240" w:lineRule="auto"/>
        <w:ind w:left="640" w:hanging="640"/>
        <w:rPr>
          <w:rFonts w:ascii="Calibri" w:hAnsi="Calibri" w:cs="Calibri"/>
          <w:noProof/>
          <w:sz w:val="20"/>
          <w:szCs w:val="24"/>
        </w:rPr>
      </w:pPr>
      <w:r w:rsidRPr="00D907AB">
        <w:rPr>
          <w:rFonts w:ascii="Calibri" w:hAnsi="Calibri" w:cs="Calibri"/>
          <w:noProof/>
          <w:sz w:val="20"/>
          <w:szCs w:val="24"/>
        </w:rPr>
        <w:t xml:space="preserve">2. </w:t>
      </w:r>
      <w:r w:rsidRPr="00D907AB">
        <w:rPr>
          <w:rFonts w:ascii="Calibri" w:hAnsi="Calibri" w:cs="Calibri"/>
          <w:noProof/>
          <w:sz w:val="20"/>
          <w:szCs w:val="24"/>
        </w:rPr>
        <w:tab/>
        <w:t>Bruchim I, Jarchowsky-Dolberg O, Fishman A. Advanced (&gt;second) line chemotherapy in the treatment of patients with recurrent epithelial ovarian cancer. Eur J Obstet Gynecol Reprod Biol [Internet]. Elsevier Ireland Ltd; 2013;166:94–8. Available from: http://dx.doi.org/10.1016/j.ejogrb.2012.10.003</w:t>
      </w:r>
    </w:p>
    <w:p w:rsidR="00D907AB" w:rsidRPr="00D907AB" w:rsidRDefault="00D907AB" w:rsidP="00D907AB">
      <w:pPr>
        <w:widowControl w:val="0"/>
        <w:autoSpaceDE w:val="0"/>
        <w:autoSpaceDN w:val="0"/>
        <w:bidi w:val="0"/>
        <w:adjustRightInd w:val="0"/>
        <w:spacing w:line="240" w:lineRule="auto"/>
        <w:ind w:left="640" w:hanging="640"/>
        <w:rPr>
          <w:rFonts w:ascii="Calibri" w:hAnsi="Calibri" w:cs="Calibri"/>
          <w:noProof/>
          <w:sz w:val="20"/>
          <w:szCs w:val="24"/>
        </w:rPr>
      </w:pPr>
      <w:r w:rsidRPr="00D907AB">
        <w:rPr>
          <w:rFonts w:ascii="Calibri" w:hAnsi="Calibri" w:cs="Calibri"/>
          <w:noProof/>
          <w:sz w:val="20"/>
          <w:szCs w:val="24"/>
        </w:rPr>
        <w:t xml:space="preserve">3. </w:t>
      </w:r>
      <w:r w:rsidRPr="00D907AB">
        <w:rPr>
          <w:rFonts w:ascii="Calibri" w:hAnsi="Calibri" w:cs="Calibri"/>
          <w:noProof/>
          <w:sz w:val="20"/>
          <w:szCs w:val="24"/>
        </w:rPr>
        <w:tab/>
        <w:t>Kessous R, Laskov I, Abitbol J, Bitharas J, Yasmeen A, Salvador S, et al. Clinical outcome of neoadjuvant chemotherapy for advanced ovarian cancer. Gynecol Oncol [Internet]. Elsevier Inc.; 2017;144:474–9. Available from: http://dx.doi.org/10.1016/j.ygyno.2016.12.017</w:t>
      </w:r>
    </w:p>
    <w:p w:rsidR="00D907AB" w:rsidRPr="00D907AB" w:rsidRDefault="00D907AB" w:rsidP="00D907AB">
      <w:pPr>
        <w:widowControl w:val="0"/>
        <w:autoSpaceDE w:val="0"/>
        <w:autoSpaceDN w:val="0"/>
        <w:bidi w:val="0"/>
        <w:adjustRightInd w:val="0"/>
        <w:spacing w:line="240" w:lineRule="auto"/>
        <w:ind w:left="640" w:hanging="640"/>
        <w:rPr>
          <w:rFonts w:ascii="Calibri" w:hAnsi="Calibri" w:cs="Calibri"/>
          <w:noProof/>
          <w:sz w:val="20"/>
          <w:szCs w:val="24"/>
        </w:rPr>
      </w:pPr>
      <w:r w:rsidRPr="00D907AB">
        <w:rPr>
          <w:rFonts w:ascii="Calibri" w:hAnsi="Calibri" w:cs="Calibri"/>
          <w:noProof/>
          <w:sz w:val="20"/>
          <w:szCs w:val="24"/>
        </w:rPr>
        <w:t xml:space="preserve">4. </w:t>
      </w:r>
      <w:r w:rsidRPr="00D907AB">
        <w:rPr>
          <w:rFonts w:ascii="Calibri" w:hAnsi="Calibri" w:cs="Calibri"/>
          <w:noProof/>
          <w:sz w:val="20"/>
          <w:szCs w:val="24"/>
        </w:rPr>
        <w:tab/>
        <w:t>Houben E, van Haalen HGM, Sparreboom W, Overbeek JA, Ezendam NPM, Pijnenborg JMA, et al. Chemotherapy for ovarian cancer in the Netherlands: a population-based study on treatment patterns and outcomes. Med Oncol [Internet]. Springer US; 2017;34:50. Available from: http://link.springer.com/10.1007/s12032-017-0901-x</w:t>
      </w:r>
    </w:p>
    <w:p w:rsidR="00D907AB" w:rsidRPr="00D907AB" w:rsidRDefault="00D907AB" w:rsidP="00D907AB">
      <w:pPr>
        <w:widowControl w:val="0"/>
        <w:autoSpaceDE w:val="0"/>
        <w:autoSpaceDN w:val="0"/>
        <w:bidi w:val="0"/>
        <w:adjustRightInd w:val="0"/>
        <w:spacing w:line="240" w:lineRule="auto"/>
        <w:ind w:left="640" w:hanging="640"/>
        <w:rPr>
          <w:rFonts w:ascii="Calibri" w:hAnsi="Calibri" w:cs="Calibri"/>
          <w:noProof/>
          <w:sz w:val="20"/>
          <w:szCs w:val="24"/>
        </w:rPr>
      </w:pPr>
      <w:r w:rsidRPr="00D907AB">
        <w:rPr>
          <w:rFonts w:ascii="Calibri" w:hAnsi="Calibri" w:cs="Calibri"/>
          <w:noProof/>
          <w:sz w:val="20"/>
          <w:szCs w:val="24"/>
        </w:rPr>
        <w:t xml:space="preserve">5. </w:t>
      </w:r>
      <w:r w:rsidRPr="00D907AB">
        <w:rPr>
          <w:rFonts w:ascii="Calibri" w:hAnsi="Calibri" w:cs="Calibri"/>
          <w:noProof/>
          <w:sz w:val="20"/>
          <w:szCs w:val="24"/>
        </w:rPr>
        <w:tab/>
        <w:t xml:space="preserve">Oza AM, Cook AD, Pfisterer J, Embleton A, Ledermann JA, Pujade-Lauraine E, et al. Standard chemotherapy with or without bevacizumab for women with newly diagnosed ovarian cancer (ICON7): Overall survival results of a phase 3 randomised trial. Lancet Oncol. 2015;16:928–36. </w:t>
      </w:r>
    </w:p>
    <w:p w:rsidR="00D907AB" w:rsidRPr="00D907AB" w:rsidRDefault="00D907AB" w:rsidP="00D907AB">
      <w:pPr>
        <w:widowControl w:val="0"/>
        <w:autoSpaceDE w:val="0"/>
        <w:autoSpaceDN w:val="0"/>
        <w:bidi w:val="0"/>
        <w:adjustRightInd w:val="0"/>
        <w:spacing w:line="240" w:lineRule="auto"/>
        <w:ind w:left="640" w:hanging="640"/>
        <w:rPr>
          <w:rFonts w:ascii="Calibri" w:hAnsi="Calibri" w:cs="Calibri"/>
          <w:noProof/>
          <w:sz w:val="20"/>
          <w:szCs w:val="24"/>
        </w:rPr>
      </w:pPr>
      <w:r w:rsidRPr="00D907AB">
        <w:rPr>
          <w:rFonts w:ascii="Calibri" w:hAnsi="Calibri" w:cs="Calibri"/>
          <w:noProof/>
          <w:sz w:val="20"/>
          <w:szCs w:val="24"/>
        </w:rPr>
        <w:t xml:space="preserve">6. </w:t>
      </w:r>
      <w:r w:rsidRPr="00D907AB">
        <w:rPr>
          <w:rFonts w:ascii="Calibri" w:hAnsi="Calibri" w:cs="Calibri"/>
          <w:noProof/>
          <w:sz w:val="20"/>
          <w:szCs w:val="24"/>
        </w:rPr>
        <w:tab/>
        <w:t>Israeli Ministry of Health, recommendations for Bevacizumab use [Internet]. 2017. Available from: https://www.health.gov.il/hozer/mk01_2017.pdf</w:t>
      </w:r>
    </w:p>
    <w:p w:rsidR="00D907AB" w:rsidRPr="00D907AB" w:rsidRDefault="00D907AB" w:rsidP="00D907AB">
      <w:pPr>
        <w:widowControl w:val="0"/>
        <w:autoSpaceDE w:val="0"/>
        <w:autoSpaceDN w:val="0"/>
        <w:bidi w:val="0"/>
        <w:adjustRightInd w:val="0"/>
        <w:spacing w:line="240" w:lineRule="auto"/>
        <w:ind w:left="640" w:hanging="640"/>
        <w:rPr>
          <w:rFonts w:ascii="Calibri" w:hAnsi="Calibri" w:cs="Calibri"/>
          <w:noProof/>
          <w:sz w:val="20"/>
          <w:szCs w:val="24"/>
        </w:rPr>
      </w:pPr>
      <w:r w:rsidRPr="00D907AB">
        <w:rPr>
          <w:rFonts w:ascii="Calibri" w:hAnsi="Calibri" w:cs="Calibri"/>
          <w:noProof/>
          <w:sz w:val="20"/>
          <w:szCs w:val="24"/>
        </w:rPr>
        <w:t xml:space="preserve">7. </w:t>
      </w:r>
      <w:r w:rsidRPr="00D907AB">
        <w:rPr>
          <w:rFonts w:ascii="Calibri" w:hAnsi="Calibri" w:cs="Calibri"/>
          <w:noProof/>
          <w:sz w:val="20"/>
          <w:szCs w:val="24"/>
        </w:rPr>
        <w:tab/>
        <w:t>Ray-Coquard I, Pautier P, Pignata S, Pérol D, González-Martín A, Berger R, et al. Olaparib plus Bevacizumab as First-Line Maintenance in Ovarian Cancer. N Engl J Med [Internet]. Massachussetts Medical Society; 2019 [cited 2020 Sep 20];381:2416–28. Available from: http://www.nejm.org/doi/10.1056/NEJMoa1911361</w:t>
      </w:r>
    </w:p>
    <w:p w:rsidR="00D907AB" w:rsidRPr="00D907AB" w:rsidRDefault="00D907AB" w:rsidP="00D907AB">
      <w:pPr>
        <w:widowControl w:val="0"/>
        <w:autoSpaceDE w:val="0"/>
        <w:autoSpaceDN w:val="0"/>
        <w:bidi w:val="0"/>
        <w:adjustRightInd w:val="0"/>
        <w:spacing w:line="240" w:lineRule="auto"/>
        <w:ind w:left="640" w:hanging="640"/>
        <w:rPr>
          <w:rFonts w:ascii="Calibri" w:hAnsi="Calibri" w:cs="Calibri"/>
          <w:noProof/>
          <w:sz w:val="20"/>
        </w:rPr>
      </w:pPr>
      <w:r w:rsidRPr="00D907AB">
        <w:rPr>
          <w:rFonts w:ascii="Calibri" w:hAnsi="Calibri" w:cs="Calibri"/>
          <w:noProof/>
          <w:sz w:val="20"/>
          <w:szCs w:val="24"/>
        </w:rPr>
        <w:t xml:space="preserve">8. </w:t>
      </w:r>
      <w:r w:rsidRPr="00D907AB">
        <w:rPr>
          <w:rFonts w:ascii="Calibri" w:hAnsi="Calibri" w:cs="Calibri"/>
          <w:noProof/>
          <w:sz w:val="20"/>
          <w:szCs w:val="24"/>
        </w:rPr>
        <w:tab/>
        <w:t>Bentor N RSTTBR. Use of end of life care, quality and costs of patients that have died from metastatic cancer [Internet]. Myers-JDC-Brookdale Inst. 2014 [cited 2020 Sep 26]. Available from: https://brookdale.jdc.org.il/wp-content/uploads/2018/01/Quality_and_cost_Report_HEB.pdf</w:t>
      </w:r>
    </w:p>
    <w:p w:rsidR="00743968" w:rsidRPr="00E61F70" w:rsidRDefault="009C7E4E" w:rsidP="001908A7">
      <w:pPr>
        <w:bidi w:val="0"/>
        <w:rPr>
          <w:sz w:val="20"/>
          <w:szCs w:val="20"/>
          <w:rtl/>
        </w:rPr>
      </w:pPr>
      <w:r w:rsidRPr="00E61F70">
        <w:rPr>
          <w:sz w:val="20"/>
          <w:szCs w:val="20"/>
          <w:rtl/>
        </w:rPr>
        <w:fldChar w:fldCharType="end"/>
      </w:r>
    </w:p>
    <w:sectPr w:rsidR="00743968" w:rsidRPr="00E61F70" w:rsidSect="00485BC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2ED"/>
    <w:multiLevelType w:val="hybridMultilevel"/>
    <w:tmpl w:val="44784422"/>
    <w:lvl w:ilvl="0" w:tplc="E244F840">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226A8"/>
    <w:multiLevelType w:val="hybridMultilevel"/>
    <w:tmpl w:val="17D0EC7C"/>
    <w:lvl w:ilvl="0" w:tplc="7F2AD69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5399D"/>
    <w:multiLevelType w:val="hybridMultilevel"/>
    <w:tmpl w:val="664E3376"/>
    <w:lvl w:ilvl="0" w:tplc="1D104E46">
      <w:start w:val="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7"/>
    <w:rsid w:val="000167C7"/>
    <w:rsid w:val="00063BE6"/>
    <w:rsid w:val="000D504A"/>
    <w:rsid w:val="000E3286"/>
    <w:rsid w:val="00104518"/>
    <w:rsid w:val="001642D0"/>
    <w:rsid w:val="001908A7"/>
    <w:rsid w:val="0022379E"/>
    <w:rsid w:val="00337C84"/>
    <w:rsid w:val="00381C87"/>
    <w:rsid w:val="003B6507"/>
    <w:rsid w:val="003E5A0C"/>
    <w:rsid w:val="00434769"/>
    <w:rsid w:val="00436E04"/>
    <w:rsid w:val="00485BC8"/>
    <w:rsid w:val="004C70D0"/>
    <w:rsid w:val="004D42B8"/>
    <w:rsid w:val="004E4FCB"/>
    <w:rsid w:val="004F4C94"/>
    <w:rsid w:val="005A6290"/>
    <w:rsid w:val="005E1935"/>
    <w:rsid w:val="00631451"/>
    <w:rsid w:val="00634AE7"/>
    <w:rsid w:val="00657F3E"/>
    <w:rsid w:val="006C3048"/>
    <w:rsid w:val="007319E9"/>
    <w:rsid w:val="00736611"/>
    <w:rsid w:val="007A2F0E"/>
    <w:rsid w:val="007C626F"/>
    <w:rsid w:val="008304C7"/>
    <w:rsid w:val="008472BD"/>
    <w:rsid w:val="008750AE"/>
    <w:rsid w:val="009A7508"/>
    <w:rsid w:val="009C7E4E"/>
    <w:rsid w:val="00A019F0"/>
    <w:rsid w:val="00A13453"/>
    <w:rsid w:val="00A530D8"/>
    <w:rsid w:val="00A545DB"/>
    <w:rsid w:val="00AD45E0"/>
    <w:rsid w:val="00AD7CC2"/>
    <w:rsid w:val="00AE3965"/>
    <w:rsid w:val="00B25E19"/>
    <w:rsid w:val="00B2603D"/>
    <w:rsid w:val="00B611D9"/>
    <w:rsid w:val="00BA4C4B"/>
    <w:rsid w:val="00BA7513"/>
    <w:rsid w:val="00BE7EAA"/>
    <w:rsid w:val="00C54B7A"/>
    <w:rsid w:val="00C57211"/>
    <w:rsid w:val="00C87C38"/>
    <w:rsid w:val="00CA1345"/>
    <w:rsid w:val="00CA4FC7"/>
    <w:rsid w:val="00CB67B3"/>
    <w:rsid w:val="00CE58DB"/>
    <w:rsid w:val="00D32E4C"/>
    <w:rsid w:val="00D5150D"/>
    <w:rsid w:val="00D86621"/>
    <w:rsid w:val="00D907AB"/>
    <w:rsid w:val="00E4511C"/>
    <w:rsid w:val="00E61F70"/>
    <w:rsid w:val="00E62EBF"/>
    <w:rsid w:val="00E63053"/>
    <w:rsid w:val="00EC1382"/>
    <w:rsid w:val="00ED3B80"/>
    <w:rsid w:val="00F106F6"/>
    <w:rsid w:val="00F11BD2"/>
    <w:rsid w:val="00F74C4B"/>
    <w:rsid w:val="00FA0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C09F"/>
  <w15:docId w15:val="{B1A80D84-026F-4F0F-B7F5-BA50F316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A305-F2A8-4B6F-8B17-CC6BA271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4401</Words>
  <Characters>22006</Characters>
  <Application>Microsoft Office Word</Application>
  <DocSecurity>0</DocSecurity>
  <Lines>183</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michaan</dc:creator>
  <cp:keywords/>
  <dc:description/>
  <cp:lastModifiedBy>nadav michaan</cp:lastModifiedBy>
  <cp:revision>25</cp:revision>
  <dcterms:created xsi:type="dcterms:W3CDTF">2020-09-19T16:03:00Z</dcterms:created>
  <dcterms:modified xsi:type="dcterms:W3CDTF">2020-10-15T17:01:00Z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http://www.zotero.org/styles/cancer-prevention-research</vt:lpwstr>
  </property>
  <property fmtid="{D5CDD505-2E9C-101B-9397-08002B2CF9AE}" pid="11" name="Mendeley Recent Style Name 4_1">
    <vt:lpwstr>Cancer Prevention Research</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e4652711-ecb6-3cd6-bccb-916a4ebd0a5a</vt:lpwstr>
  </property>
  <property fmtid="{D5CDD505-2E9C-101B-9397-08002B2CF9AE}" pid="24" name="Mendeley Citation Style_1">
    <vt:lpwstr>http://www.zotero.org/styles/cancer-prevention-research</vt:lpwstr>
  </property>
</Properties>
</file>