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26" w:rsidRDefault="00BA2926" w:rsidP="00BA29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data </w:t>
      </w:r>
      <w:r w:rsidR="00C5774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Strongest barriers to and facilitators of </w:t>
      </w:r>
      <w:r w:rsidR="00384219">
        <w:rPr>
          <w:rFonts w:ascii="Arial" w:hAnsi="Arial" w:cs="Arial"/>
          <w:b/>
          <w:sz w:val="24"/>
          <w:szCs w:val="24"/>
        </w:rPr>
        <w:t>risk reducing medication</w:t>
      </w:r>
      <w:r>
        <w:rPr>
          <w:rFonts w:ascii="Arial" w:hAnsi="Arial" w:cs="Arial"/>
          <w:b/>
          <w:sz w:val="24"/>
          <w:szCs w:val="24"/>
        </w:rPr>
        <w:t xml:space="preserve"> use for kConFab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84"/>
      </w:tblGrid>
      <w:tr w:rsidR="00BA2926" w:rsidRPr="008D2105" w:rsidTr="00680DF3">
        <w:tc>
          <w:tcPr>
            <w:tcW w:w="6516" w:type="dxa"/>
          </w:tcPr>
          <w:p w:rsidR="00BA2926" w:rsidRPr="00115D88" w:rsidRDefault="00BA2926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D88"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1984" w:type="dxa"/>
          </w:tcPr>
          <w:p w:rsidR="00BA2926" w:rsidRPr="00115D88" w:rsidRDefault="00BA2926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88">
              <w:rPr>
                <w:rFonts w:ascii="Arial" w:hAnsi="Arial" w:cs="Arial"/>
                <w:b/>
                <w:sz w:val="20"/>
                <w:szCs w:val="20"/>
              </w:rPr>
              <w:t>No. (%)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Possible side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4545A">
              <w:rPr>
                <w:rFonts w:ascii="Arial" w:hAnsi="Arial" w:cs="Arial"/>
                <w:sz w:val="20"/>
                <w:szCs w:val="20"/>
              </w:rPr>
              <w:t>effects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(31)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 xml:space="preserve">I don’t have enough information about RRMs to make an informed decision 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(23)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prefer healthy lifestyle choices alone to medication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(6)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I’ve seen family/friends experience side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4545A">
              <w:rPr>
                <w:rFonts w:ascii="Arial" w:hAnsi="Arial" w:cs="Arial"/>
                <w:sz w:val="20"/>
                <w:szCs w:val="20"/>
              </w:rPr>
              <w:t>effects when taking medicines</w:t>
            </w:r>
            <w:r>
              <w:rPr>
                <w:rFonts w:ascii="Arial" w:hAnsi="Arial" w:cs="Arial"/>
                <w:sz w:val="20"/>
                <w:szCs w:val="20"/>
              </w:rPr>
              <w:t xml:space="preserve"> like this so I will be likely to experience the same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(4)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would prefer to have both breasts removed rather than take medication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wouldn’t know whether RRMs were actually working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</w:t>
            </w:r>
            <w:r w:rsidRPr="00F4545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My risk of BC is not high enough to justify taking RRMs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</w:t>
            </w:r>
            <w:r w:rsidRPr="00F4545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would prefer BC screening alone rather than screening and taking RRMs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I’m concerned about drug interactions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Taking them would mean I would have to delay becoming pregnant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My doctor doesn’t talk to me often enough about RRMs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don’t know what my BC risk is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If cancer is going to happen it will happen, you cannot change your risk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don’t know how much they cost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</w:t>
            </w:r>
            <w:r w:rsidRPr="00F454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don’t believe RRMs would reduce my risk enough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have trouble remembering to take a daily tablet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have another medical condition that outweighs my BC concerns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RRMs are ‘unnatural’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 xml:space="preserve">I don’t believe in taking medicines for prevention, only for illness 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am already taking too many medications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The inconvenience of taking a daily tablet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If family/friends didn’t think taking RRMs was a good idea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 think of these medicines to treat BC, not to prevent it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F454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Taking a daily tablet for 5 years would be a daily reminder of my cancer risk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F454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It would be a reminder of family/friends experiences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F454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Taking them would mean I couldn’t take the oral contraceptive pill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F454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394E52" w:rsidRDefault="00BA2926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E5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:rsidR="00BA2926" w:rsidRPr="00394E52" w:rsidRDefault="00BA2926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523*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45A">
              <w:rPr>
                <w:rFonts w:ascii="Arial" w:hAnsi="Arial" w:cs="Arial"/>
                <w:b/>
                <w:sz w:val="20"/>
                <w:szCs w:val="20"/>
              </w:rPr>
              <w:t>Facilitators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Taking RRMs can reduce breast cancer risk for up to 20 years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(35)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Having an abnormal biopsy that increased my risk of developing BC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If I thought RRM’s would improve the chance I will stay healthy for my family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Knowing I have a high BC risk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(</w:t>
            </w:r>
            <w:r w:rsidRPr="00F4545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If my doctor recommended taking RRMs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(10)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Having a family history of BC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(6)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Knowing that some of these medicines help prevent or treat osteoporosis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(4)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Knowing RRMs can be taken prior to risk reducing surgery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If a friend/family member recommended RRMs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(2)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Knowing some of these meds reduce cholesterol levels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Taking a daily tablet to reduce my BC risk would reassure me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Once I stop taking RRMs, side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4545A">
              <w:rPr>
                <w:rFonts w:ascii="Arial" w:hAnsi="Arial" w:cs="Arial"/>
                <w:sz w:val="20"/>
                <w:szCs w:val="20"/>
              </w:rPr>
              <w:t>effects will diminish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Pr="00F454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Because they would reduce my stress about BC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Taking a daily tablet would make me feel more in control of my health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F454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F4545A" w:rsidTr="00680DF3">
        <w:tc>
          <w:tcPr>
            <w:tcW w:w="6516" w:type="dxa"/>
          </w:tcPr>
          <w:p w:rsidR="00BA2926" w:rsidRPr="00F4545A" w:rsidRDefault="00BA2926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F4545A">
              <w:rPr>
                <w:rFonts w:ascii="Arial" w:hAnsi="Arial" w:cs="Arial"/>
                <w:sz w:val="20"/>
                <w:szCs w:val="20"/>
              </w:rPr>
              <w:t>If family/friends were supportive of me taking RRMs</w:t>
            </w:r>
          </w:p>
        </w:tc>
        <w:tc>
          <w:tcPr>
            <w:tcW w:w="1984" w:type="dxa"/>
          </w:tcPr>
          <w:p w:rsidR="00BA2926" w:rsidRPr="00F4545A" w:rsidRDefault="00BA2926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F454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2926" w:rsidRPr="00BA2926" w:rsidTr="00680DF3">
        <w:tc>
          <w:tcPr>
            <w:tcW w:w="6516" w:type="dxa"/>
          </w:tcPr>
          <w:p w:rsidR="00BA2926" w:rsidRPr="00BA2926" w:rsidRDefault="00BA2926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92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:rsidR="00BA2926" w:rsidRPr="00BA2926" w:rsidRDefault="00BA2926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2926">
              <w:rPr>
                <w:rFonts w:ascii="Arial" w:hAnsi="Arial" w:cs="Arial"/>
                <w:b/>
                <w:sz w:val="20"/>
                <w:szCs w:val="20"/>
              </w:rPr>
              <w:t>483</w:t>
            </w:r>
            <w:r w:rsidRPr="00BA29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</w:tr>
    </w:tbl>
    <w:p w:rsidR="00384219" w:rsidRPr="00384219" w:rsidRDefault="00384219" w:rsidP="00BA2926">
      <w:pPr>
        <w:rPr>
          <w:rFonts w:ascii="Arial" w:hAnsi="Arial" w:cs="Arial"/>
          <w:sz w:val="24"/>
          <w:szCs w:val="24"/>
        </w:rPr>
      </w:pPr>
      <w:r w:rsidRPr="00384219">
        <w:rPr>
          <w:rFonts w:ascii="Arial" w:hAnsi="Arial" w:cs="Arial"/>
          <w:sz w:val="24"/>
          <w:szCs w:val="24"/>
        </w:rPr>
        <w:t>RRM= risk reducing medication, BC= breast cancer</w:t>
      </w:r>
    </w:p>
    <w:p w:rsidR="00BA2926" w:rsidRPr="00300B15" w:rsidRDefault="00BA2926" w:rsidP="00BA2926">
      <w:pPr>
        <w:rPr>
          <w:rFonts w:ascii="Arial" w:hAnsi="Arial" w:cs="Arial"/>
          <w:sz w:val="24"/>
          <w:szCs w:val="24"/>
        </w:rPr>
      </w:pPr>
      <w:r w:rsidRPr="00300B15">
        <w:rPr>
          <w:rFonts w:ascii="Arial" w:hAnsi="Arial" w:cs="Arial"/>
          <w:b/>
          <w:sz w:val="24"/>
          <w:szCs w:val="24"/>
        </w:rPr>
        <w:lastRenderedPageBreak/>
        <w:t>*</w:t>
      </w:r>
      <w:r w:rsidRPr="00300B15">
        <w:rPr>
          <w:rFonts w:ascii="Arial" w:hAnsi="Arial" w:cs="Arial"/>
          <w:sz w:val="24"/>
          <w:szCs w:val="24"/>
        </w:rPr>
        <w:t>192 women did not answer this question, 22 of these marked “not applicable” or “not a barrier at all”</w:t>
      </w:r>
      <w:r>
        <w:rPr>
          <w:rFonts w:ascii="Arial" w:hAnsi="Arial" w:cs="Arial"/>
          <w:sz w:val="24"/>
          <w:szCs w:val="24"/>
        </w:rPr>
        <w:t xml:space="preserve"> to all individual barriers. The remaining 170 women identified side-effects (39%), not having enough information (34%), healthy lifestyle (13%) and seeing family/friends experience side-effects (8%) as strong barriers.</w:t>
      </w:r>
    </w:p>
    <w:p w:rsidR="00BA2926" w:rsidRPr="001379B5" w:rsidRDefault="00BA2926" w:rsidP="00BA2926">
      <w:pPr>
        <w:rPr>
          <w:rFonts w:ascii="Arial" w:hAnsi="Arial" w:cs="Arial"/>
          <w:sz w:val="24"/>
          <w:szCs w:val="24"/>
        </w:rPr>
      </w:pPr>
      <w:r w:rsidRPr="00300B15">
        <w:rPr>
          <w:rFonts w:ascii="Arial" w:hAnsi="Arial" w:cs="Arial"/>
          <w:sz w:val="24"/>
          <w:szCs w:val="24"/>
        </w:rPr>
        <w:t xml:space="preserve"> </w:t>
      </w:r>
      <w:r w:rsidRPr="00300B15">
        <w:rPr>
          <w:rFonts w:ascii="Arial" w:hAnsi="Arial" w:cs="Arial"/>
          <w:sz w:val="24"/>
          <w:szCs w:val="24"/>
          <w:vertAlign w:val="superscript"/>
        </w:rPr>
        <w:t>#</w:t>
      </w:r>
      <w:r w:rsidRPr="00300B15">
        <w:rPr>
          <w:rFonts w:ascii="Arial" w:hAnsi="Arial" w:cs="Arial"/>
          <w:sz w:val="24"/>
          <w:szCs w:val="24"/>
        </w:rPr>
        <w:t>232 women did not answer this question, 32 of these marked “not applicable” or “not easier at all”</w:t>
      </w:r>
      <w:r>
        <w:rPr>
          <w:rFonts w:ascii="Arial" w:hAnsi="Arial" w:cs="Arial"/>
          <w:sz w:val="24"/>
          <w:szCs w:val="24"/>
        </w:rPr>
        <w:t xml:space="preserve"> to all individual facilitators. The remaining 200 women identified taking </w:t>
      </w:r>
      <w:r w:rsidR="00384219">
        <w:rPr>
          <w:rFonts w:ascii="Arial" w:hAnsi="Arial" w:cs="Arial"/>
          <w:sz w:val="24"/>
          <w:szCs w:val="24"/>
        </w:rPr>
        <w:t>risk reducing medication</w:t>
      </w:r>
      <w:r>
        <w:rPr>
          <w:rFonts w:ascii="Arial" w:hAnsi="Arial" w:cs="Arial"/>
          <w:sz w:val="24"/>
          <w:szCs w:val="24"/>
        </w:rPr>
        <w:t xml:space="preserve"> can reduce </w:t>
      </w:r>
      <w:r w:rsidR="00384219">
        <w:rPr>
          <w:rFonts w:ascii="Arial" w:hAnsi="Arial" w:cs="Arial"/>
          <w:sz w:val="24"/>
          <w:szCs w:val="24"/>
        </w:rPr>
        <w:t>breast cancer</w:t>
      </w:r>
      <w:r>
        <w:rPr>
          <w:rFonts w:ascii="Arial" w:hAnsi="Arial" w:cs="Arial"/>
          <w:sz w:val="24"/>
          <w:szCs w:val="24"/>
        </w:rPr>
        <w:t xml:space="preserve"> risk for up to 20 years (25%), staying healthy for my family (39%), knowing I have high </w:t>
      </w:r>
      <w:r w:rsidR="00384219">
        <w:rPr>
          <w:rFonts w:ascii="Arial" w:hAnsi="Arial" w:cs="Arial"/>
          <w:sz w:val="24"/>
          <w:szCs w:val="24"/>
        </w:rPr>
        <w:t>breast cancer</w:t>
      </w:r>
      <w:r>
        <w:rPr>
          <w:rFonts w:ascii="Arial" w:hAnsi="Arial" w:cs="Arial"/>
          <w:sz w:val="24"/>
          <w:szCs w:val="24"/>
        </w:rPr>
        <w:t xml:space="preserve"> risk (40%), having an abnormal biopsy (31%) and doctor’s recommendation (26%) as strong facilitators.</w:t>
      </w:r>
    </w:p>
    <w:p w:rsidR="009B3807" w:rsidRDefault="009B3807"/>
    <w:sectPr w:rsidR="009B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06"/>
    <w:rsid w:val="00384219"/>
    <w:rsid w:val="006C0761"/>
    <w:rsid w:val="009B3807"/>
    <w:rsid w:val="00BA2926"/>
    <w:rsid w:val="00C57749"/>
    <w:rsid w:val="00E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D69E382F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 Courtney</dc:creator>
  <cp:lastModifiedBy>Phillips, Kelly</cp:lastModifiedBy>
  <cp:revision>2</cp:revision>
  <dcterms:created xsi:type="dcterms:W3CDTF">2020-10-03T09:52:00Z</dcterms:created>
  <dcterms:modified xsi:type="dcterms:W3CDTF">2020-10-03T09:52:00Z</dcterms:modified>
</cp:coreProperties>
</file>