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2B" w:rsidRPr="00D5176D" w:rsidRDefault="0069639C">
      <w:pPr>
        <w:rPr>
          <w:rFonts w:ascii="Times New Roman" w:hAnsi="Times New Roman" w:cs="Times New Roman"/>
        </w:rPr>
      </w:pPr>
      <w:r w:rsidRPr="00D5176D">
        <w:rPr>
          <w:rFonts w:ascii="Times New Roman" w:hAnsi="Times New Roman" w:cs="Times New Roman"/>
        </w:rPr>
        <w:t>A.</w:t>
      </w:r>
    </w:p>
    <w:p w:rsidR="0069639C" w:rsidRPr="00D5176D" w:rsidRDefault="0069639C">
      <w:pPr>
        <w:rPr>
          <w:rFonts w:ascii="Times New Roman" w:hAnsi="Times New Roman" w:cs="Times New Roman"/>
        </w:rPr>
      </w:pPr>
      <w:r w:rsidRPr="00D5176D">
        <w:rPr>
          <w:rFonts w:ascii="Times New Roman" w:hAnsi="Times New Roman" w:cs="Times New Roman"/>
          <w:noProof/>
        </w:rPr>
        <w:drawing>
          <wp:inline distT="0" distB="0" distL="0" distR="0">
            <wp:extent cx="3998276" cy="3702532"/>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1282" cy="3705315"/>
                    </a:xfrm>
                    <a:prstGeom prst="rect">
                      <a:avLst/>
                    </a:prstGeom>
                    <a:noFill/>
                    <a:ln>
                      <a:noFill/>
                    </a:ln>
                  </pic:spPr>
                </pic:pic>
              </a:graphicData>
            </a:graphic>
          </wp:inline>
        </w:drawing>
      </w:r>
    </w:p>
    <w:p w:rsidR="0069639C" w:rsidRPr="00D5176D" w:rsidRDefault="0069639C">
      <w:pPr>
        <w:rPr>
          <w:rFonts w:ascii="Times New Roman" w:hAnsi="Times New Roman" w:cs="Times New Roman"/>
        </w:rPr>
      </w:pPr>
      <w:r w:rsidRPr="00D5176D">
        <w:rPr>
          <w:rFonts w:ascii="Times New Roman" w:hAnsi="Times New Roman" w:cs="Times New Roman"/>
        </w:rPr>
        <w:t>B.</w:t>
      </w:r>
    </w:p>
    <w:p w:rsidR="0069639C" w:rsidRPr="00D5176D" w:rsidRDefault="0069639C">
      <w:pPr>
        <w:rPr>
          <w:rFonts w:ascii="Times New Roman" w:hAnsi="Times New Roman" w:cs="Times New Roman"/>
        </w:rPr>
      </w:pPr>
      <w:r w:rsidRPr="00D5176D">
        <w:rPr>
          <w:rFonts w:ascii="Times New Roman" w:hAnsi="Times New Roman" w:cs="Times New Roman"/>
          <w:noProof/>
        </w:rPr>
        <w:drawing>
          <wp:inline distT="0" distB="0" distL="0" distR="0">
            <wp:extent cx="5278120" cy="3714539"/>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3714539"/>
                    </a:xfrm>
                    <a:prstGeom prst="rect">
                      <a:avLst/>
                    </a:prstGeom>
                    <a:noFill/>
                    <a:ln>
                      <a:noFill/>
                    </a:ln>
                  </pic:spPr>
                </pic:pic>
              </a:graphicData>
            </a:graphic>
          </wp:inline>
        </w:drawing>
      </w:r>
    </w:p>
    <w:p w:rsidR="0069639C" w:rsidRPr="00D5176D" w:rsidRDefault="00D5176D">
      <w:pPr>
        <w:rPr>
          <w:rFonts w:ascii="Times New Roman" w:hAnsi="Times New Roman" w:cs="Times New Roman"/>
        </w:rPr>
      </w:pPr>
      <w:r w:rsidRPr="00D5176D">
        <w:rPr>
          <w:rFonts w:ascii="Times New Roman" w:hAnsi="Times New Roman" w:cs="Times New Roman"/>
        </w:rPr>
        <w:t>Supplementary Fig</w:t>
      </w:r>
      <w:r w:rsidR="0069639C" w:rsidRPr="00D5176D">
        <w:rPr>
          <w:rFonts w:ascii="Times New Roman" w:hAnsi="Times New Roman" w:cs="Times New Roman"/>
        </w:rPr>
        <w:t xml:space="preserve">ure </w:t>
      </w:r>
      <w:r w:rsidR="00DC6D38">
        <w:rPr>
          <w:rFonts w:ascii="Times New Roman" w:hAnsi="Times New Roman" w:cs="Times New Roman"/>
        </w:rPr>
        <w:t>S</w:t>
      </w:r>
      <w:r w:rsidR="0069639C" w:rsidRPr="00D5176D">
        <w:rPr>
          <w:rFonts w:ascii="Times New Roman" w:hAnsi="Times New Roman" w:cs="Times New Roman"/>
        </w:rPr>
        <w:t>1: The predicted and observed incidence of ESCC in Yancheng, Yanting and Cixian County (A) and the validation tests of predicted versus observed incidence (B). In the figure B, the black solid line indicates the linear regression.</w:t>
      </w: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r w:rsidRPr="00D5176D">
        <w:rPr>
          <w:rFonts w:ascii="Times New Roman" w:hAnsi="Times New Roman" w:cs="Times New Roman"/>
          <w:noProof/>
        </w:rPr>
        <w:lastRenderedPageBreak/>
        <w:drawing>
          <wp:inline distT="0" distB="0" distL="0" distR="0">
            <wp:extent cx="5278120" cy="62761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6276133"/>
                    </a:xfrm>
                    <a:prstGeom prst="rect">
                      <a:avLst/>
                    </a:prstGeom>
                    <a:noFill/>
                    <a:ln>
                      <a:noFill/>
                    </a:ln>
                  </pic:spPr>
                </pic:pic>
              </a:graphicData>
            </a:graphic>
          </wp:inline>
        </w:drawing>
      </w:r>
    </w:p>
    <w:p w:rsidR="0069639C" w:rsidRPr="00D5176D" w:rsidRDefault="00D5176D">
      <w:pPr>
        <w:rPr>
          <w:rFonts w:ascii="Times New Roman" w:hAnsi="Times New Roman" w:cs="Times New Roman"/>
        </w:rPr>
      </w:pPr>
      <w:r w:rsidRPr="00D5176D">
        <w:rPr>
          <w:rFonts w:ascii="Times New Roman" w:hAnsi="Times New Roman" w:cs="Times New Roman"/>
        </w:rPr>
        <w:t>Supplementary Figure</w:t>
      </w:r>
      <w:r w:rsidR="0069639C" w:rsidRPr="00D5176D">
        <w:rPr>
          <w:rFonts w:ascii="Times New Roman" w:hAnsi="Times New Roman" w:cs="Times New Roman"/>
        </w:rPr>
        <w:t xml:space="preserve"> </w:t>
      </w:r>
      <w:r w:rsidR="00DC6D38">
        <w:rPr>
          <w:rFonts w:ascii="Times New Roman" w:hAnsi="Times New Roman" w:cs="Times New Roman"/>
        </w:rPr>
        <w:t>S</w:t>
      </w:r>
      <w:r w:rsidR="0069639C" w:rsidRPr="00D5176D">
        <w:rPr>
          <w:rFonts w:ascii="Times New Roman" w:hAnsi="Times New Roman" w:cs="Times New Roman"/>
        </w:rPr>
        <w:t>2: The impact of screening strategies on the incidence of ESCC.</w:t>
      </w: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r w:rsidRPr="00D5176D">
        <w:rPr>
          <w:rFonts w:ascii="Times New Roman" w:hAnsi="Times New Roman" w:cs="Times New Roman"/>
          <w:noProof/>
        </w:rPr>
        <w:drawing>
          <wp:inline distT="0" distB="0" distL="0" distR="0">
            <wp:extent cx="5278120" cy="565982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120" cy="5659821"/>
                    </a:xfrm>
                    <a:prstGeom prst="rect">
                      <a:avLst/>
                    </a:prstGeom>
                    <a:noFill/>
                    <a:ln>
                      <a:noFill/>
                    </a:ln>
                  </pic:spPr>
                </pic:pic>
              </a:graphicData>
            </a:graphic>
          </wp:inline>
        </w:drawing>
      </w:r>
    </w:p>
    <w:p w:rsidR="0069639C" w:rsidRPr="00D5176D" w:rsidRDefault="00D5176D">
      <w:pPr>
        <w:rPr>
          <w:rFonts w:ascii="Times New Roman" w:hAnsi="Times New Roman" w:cs="Times New Roman"/>
        </w:rPr>
      </w:pPr>
      <w:r w:rsidRPr="00D5176D">
        <w:rPr>
          <w:rFonts w:ascii="Times New Roman" w:hAnsi="Times New Roman" w:cs="Times New Roman"/>
        </w:rPr>
        <w:t>Supplementary Figure</w:t>
      </w:r>
      <w:r w:rsidR="0069639C" w:rsidRPr="00D5176D">
        <w:rPr>
          <w:rFonts w:ascii="Times New Roman" w:hAnsi="Times New Roman" w:cs="Times New Roman"/>
        </w:rPr>
        <w:t xml:space="preserve"> </w:t>
      </w:r>
      <w:r w:rsidR="00DC6D38">
        <w:rPr>
          <w:rFonts w:ascii="Times New Roman" w:hAnsi="Times New Roman" w:cs="Times New Roman"/>
        </w:rPr>
        <w:t>S</w:t>
      </w:r>
      <w:r w:rsidR="0069639C" w:rsidRPr="00D5176D">
        <w:rPr>
          <w:rFonts w:ascii="Times New Roman" w:hAnsi="Times New Roman" w:cs="Times New Roman"/>
        </w:rPr>
        <w:t>3: The impact of adherence to screening on life years (A) and QALYs (B)</w:t>
      </w: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69639C">
      <w:pPr>
        <w:rPr>
          <w:rFonts w:ascii="Times New Roman" w:hAnsi="Times New Roman" w:cs="Times New Roman"/>
        </w:rPr>
      </w:pPr>
    </w:p>
    <w:p w:rsidR="0069639C" w:rsidRPr="00D5176D" w:rsidRDefault="00D85D3C">
      <w:pPr>
        <w:rPr>
          <w:rFonts w:ascii="Times New Roman" w:hAnsi="Times New Roman" w:cs="Times New Roman"/>
        </w:rPr>
      </w:pPr>
      <w:r w:rsidRPr="00D5176D">
        <w:rPr>
          <w:rFonts w:ascii="Times New Roman" w:hAnsi="Times New Roman" w:cs="Times New Roman"/>
          <w:noProof/>
        </w:rPr>
        <w:lastRenderedPageBreak/>
        <w:drawing>
          <wp:inline distT="0" distB="0" distL="0" distR="0">
            <wp:extent cx="5278120" cy="663828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6638289"/>
                    </a:xfrm>
                    <a:prstGeom prst="rect">
                      <a:avLst/>
                    </a:prstGeom>
                    <a:noFill/>
                    <a:ln>
                      <a:noFill/>
                    </a:ln>
                  </pic:spPr>
                </pic:pic>
              </a:graphicData>
            </a:graphic>
          </wp:inline>
        </w:drawing>
      </w:r>
    </w:p>
    <w:p w:rsidR="0069639C" w:rsidRPr="00D5176D" w:rsidRDefault="00D5176D" w:rsidP="0069639C">
      <w:pPr>
        <w:rPr>
          <w:rFonts w:ascii="Times New Roman" w:hAnsi="Times New Roman" w:cs="Times New Roman"/>
        </w:rPr>
      </w:pPr>
      <w:r w:rsidRPr="00D5176D">
        <w:rPr>
          <w:rFonts w:ascii="Times New Roman" w:hAnsi="Times New Roman" w:cs="Times New Roman"/>
        </w:rPr>
        <w:t>Supplementary Figure</w:t>
      </w:r>
      <w:r w:rsidR="0069639C" w:rsidRPr="00D5176D">
        <w:rPr>
          <w:rFonts w:ascii="Times New Roman" w:hAnsi="Times New Roman" w:cs="Times New Roman"/>
        </w:rPr>
        <w:t xml:space="preserve"> </w:t>
      </w:r>
      <w:r w:rsidR="00DC6D38">
        <w:rPr>
          <w:rFonts w:ascii="Times New Roman" w:hAnsi="Times New Roman" w:cs="Times New Roman"/>
        </w:rPr>
        <w:t>S</w:t>
      </w:r>
      <w:r w:rsidR="0069639C" w:rsidRPr="00D5176D">
        <w:rPr>
          <w:rFonts w:ascii="Times New Roman" w:hAnsi="Times New Roman" w:cs="Times New Roman"/>
        </w:rPr>
        <w:t xml:space="preserve">4: </w:t>
      </w:r>
      <w:r w:rsidR="003D4787" w:rsidRPr="00D5176D">
        <w:rPr>
          <w:rFonts w:ascii="Times New Roman" w:hAnsi="Times New Roman" w:cs="Times New Roman"/>
        </w:rPr>
        <w:t>The number of lesions needed to prevent a cancer in all 36 strategies.</w:t>
      </w:r>
    </w:p>
    <w:p w:rsidR="0069639C" w:rsidRPr="00D5176D" w:rsidRDefault="0069639C">
      <w:pPr>
        <w:rPr>
          <w:rFonts w:ascii="Times New Roman" w:hAnsi="Times New Roman" w:cs="Times New Roman"/>
        </w:rPr>
      </w:pPr>
    </w:p>
    <w:p w:rsidR="003D4787" w:rsidRPr="00D5176D" w:rsidRDefault="003D4787">
      <w:pPr>
        <w:rPr>
          <w:rFonts w:ascii="Times New Roman" w:hAnsi="Times New Roman" w:cs="Times New Roman"/>
        </w:rPr>
      </w:pPr>
    </w:p>
    <w:p w:rsidR="003D4787" w:rsidRPr="00D5176D" w:rsidRDefault="003D4787">
      <w:pPr>
        <w:rPr>
          <w:rFonts w:ascii="Times New Roman" w:hAnsi="Times New Roman" w:cs="Times New Roman"/>
        </w:rPr>
      </w:pPr>
    </w:p>
    <w:p w:rsidR="00303CD5" w:rsidRPr="00D5176D" w:rsidRDefault="00303CD5">
      <w:pPr>
        <w:rPr>
          <w:rFonts w:ascii="Times New Roman" w:hAnsi="Times New Roman" w:cs="Times New Roman"/>
        </w:rPr>
      </w:pPr>
    </w:p>
    <w:p w:rsidR="00303CD5" w:rsidRPr="00D5176D" w:rsidRDefault="00303CD5">
      <w:pPr>
        <w:rPr>
          <w:rFonts w:ascii="Times New Roman" w:hAnsi="Times New Roman" w:cs="Times New Roman"/>
        </w:rPr>
      </w:pPr>
    </w:p>
    <w:p w:rsidR="00303CD5" w:rsidRPr="00D5176D" w:rsidRDefault="00303CD5">
      <w:pPr>
        <w:rPr>
          <w:rFonts w:ascii="Times New Roman" w:hAnsi="Times New Roman" w:cs="Times New Roman"/>
        </w:rPr>
      </w:pPr>
    </w:p>
    <w:p w:rsidR="003D4787" w:rsidRPr="00D5176D" w:rsidRDefault="003D4787">
      <w:pPr>
        <w:rPr>
          <w:rFonts w:ascii="Times New Roman" w:hAnsi="Times New Roman" w:cs="Times New Roman"/>
        </w:rPr>
      </w:pPr>
    </w:p>
    <w:p w:rsidR="002D0968" w:rsidRDefault="002D0968" w:rsidP="002D0968"/>
    <w:p w:rsidR="002D0968" w:rsidRDefault="002D0968" w:rsidP="002D0968"/>
    <w:tbl>
      <w:tblPr>
        <w:tblW w:w="5000" w:type="pct"/>
        <w:tblLook w:val="04A0" w:firstRow="1" w:lastRow="0" w:firstColumn="1" w:lastColumn="0" w:noHBand="0" w:noVBand="1"/>
      </w:tblPr>
      <w:tblGrid>
        <w:gridCol w:w="2784"/>
        <w:gridCol w:w="582"/>
        <w:gridCol w:w="625"/>
        <w:gridCol w:w="668"/>
        <w:gridCol w:w="675"/>
        <w:gridCol w:w="617"/>
        <w:gridCol w:w="509"/>
        <w:gridCol w:w="628"/>
        <w:gridCol w:w="640"/>
        <w:gridCol w:w="584"/>
      </w:tblGrid>
      <w:tr w:rsidR="002D0968" w:rsidRPr="00394251" w:rsidTr="00F96CE8">
        <w:trPr>
          <w:trHeight w:val="270"/>
        </w:trPr>
        <w:tc>
          <w:tcPr>
            <w:tcW w:w="5000" w:type="pct"/>
            <w:gridSpan w:val="10"/>
            <w:tcBorders>
              <w:top w:val="nil"/>
              <w:left w:val="nil"/>
              <w:bottom w:val="single" w:sz="4" w:space="0" w:color="auto"/>
              <w:right w:val="nil"/>
            </w:tcBorders>
            <w:shd w:val="clear" w:color="auto" w:fill="auto"/>
            <w:noWrap/>
            <w:vAlign w:val="center"/>
            <w:hideMark/>
          </w:tcPr>
          <w:p w:rsidR="002D0968" w:rsidRPr="002775A8" w:rsidRDefault="002D0968" w:rsidP="00F17AEC">
            <w:pPr>
              <w:widowControl/>
              <w:jc w:val="left"/>
              <w:rPr>
                <w:rFonts w:ascii="Times New Roman" w:hAnsi="Times New Roman"/>
                <w:color w:val="000000"/>
                <w:kern w:val="0"/>
                <w:sz w:val="13"/>
                <w:szCs w:val="13"/>
              </w:rPr>
            </w:pPr>
            <w:bookmarkStart w:id="0" w:name="_GoBack"/>
            <w:r w:rsidRPr="00D5176D">
              <w:rPr>
                <w:rFonts w:ascii="Times New Roman" w:hAnsi="Times New Roman" w:cs="Times New Roman"/>
                <w:color w:val="000000"/>
                <w:kern w:val="0"/>
                <w:sz w:val="14"/>
                <w:szCs w:val="14"/>
              </w:rPr>
              <w:lastRenderedPageBreak/>
              <w:t>Supplementary</w:t>
            </w:r>
            <w:r>
              <w:rPr>
                <w:rFonts w:ascii="Times New Roman" w:hAnsi="Times New Roman" w:cs="Times New Roman"/>
                <w:color w:val="000000"/>
                <w:kern w:val="0"/>
                <w:sz w:val="14"/>
                <w:szCs w:val="14"/>
              </w:rPr>
              <w:t xml:space="preserve"> </w:t>
            </w:r>
            <w:r w:rsidRPr="00D5176D">
              <w:rPr>
                <w:rFonts w:ascii="Times New Roman" w:hAnsi="Times New Roman" w:cs="Times New Roman"/>
                <w:color w:val="000000"/>
                <w:kern w:val="0"/>
                <w:sz w:val="14"/>
                <w:szCs w:val="14"/>
              </w:rPr>
              <w:t xml:space="preserve">Table </w:t>
            </w:r>
            <w:r>
              <w:rPr>
                <w:rFonts w:ascii="Times New Roman" w:hAnsi="Times New Roman" w:cs="Times New Roman"/>
                <w:color w:val="000000"/>
                <w:kern w:val="0"/>
                <w:sz w:val="14"/>
                <w:szCs w:val="14"/>
              </w:rPr>
              <w:t>S</w:t>
            </w:r>
            <w:r w:rsidR="00F17AEC">
              <w:rPr>
                <w:rFonts w:ascii="Times New Roman" w:hAnsi="Times New Roman" w:cs="Times New Roman"/>
                <w:color w:val="000000"/>
                <w:kern w:val="0"/>
                <w:sz w:val="14"/>
                <w:szCs w:val="14"/>
              </w:rPr>
              <w:t>1</w:t>
            </w:r>
            <w:bookmarkEnd w:id="0"/>
            <w:r w:rsidRPr="00D5176D">
              <w:rPr>
                <w:rFonts w:ascii="Times New Roman" w:hAnsi="Times New Roman" w:cs="Times New Roman"/>
                <w:color w:val="000000"/>
                <w:kern w:val="0"/>
                <w:sz w:val="14"/>
                <w:szCs w:val="14"/>
              </w:rPr>
              <w:t xml:space="preserve">: </w:t>
            </w:r>
            <w:r w:rsidRPr="002775A8">
              <w:rPr>
                <w:rFonts w:ascii="Times New Roman" w:hAnsi="Times New Roman"/>
                <w:color w:val="000000"/>
                <w:kern w:val="0"/>
                <w:sz w:val="13"/>
                <w:szCs w:val="13"/>
              </w:rPr>
              <w:t xml:space="preserve"> Base-case health benefits and economic outcomes of different screening strategies</w:t>
            </w:r>
          </w:p>
        </w:tc>
      </w:tr>
      <w:tr w:rsidR="002D0968" w:rsidRPr="00394251" w:rsidTr="00F96CE8">
        <w:trPr>
          <w:trHeight w:val="270"/>
        </w:trPr>
        <w:tc>
          <w:tcPr>
            <w:tcW w:w="1675" w:type="pct"/>
            <w:vMerge w:val="restart"/>
            <w:tcBorders>
              <w:top w:val="nil"/>
              <w:left w:val="nil"/>
              <w:bottom w:val="single" w:sz="4" w:space="0" w:color="000000"/>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Strategies</w:t>
            </w:r>
          </w:p>
        </w:tc>
        <w:tc>
          <w:tcPr>
            <w:tcW w:w="1905" w:type="pct"/>
            <w:gridSpan w:val="5"/>
            <w:tcBorders>
              <w:top w:val="single" w:sz="4" w:space="0" w:color="auto"/>
              <w:left w:val="nil"/>
              <w:bottom w:val="nil"/>
              <w:right w:val="nil"/>
            </w:tcBorders>
            <w:shd w:val="clear" w:color="auto" w:fill="auto"/>
            <w:noWrap/>
            <w:vAlign w:val="center"/>
            <w:hideMark/>
          </w:tcPr>
          <w:p w:rsidR="002D0968" w:rsidRPr="002775A8" w:rsidRDefault="002D0968" w:rsidP="00F96CE8">
            <w:pPr>
              <w:widowControl/>
              <w:jc w:val="center"/>
              <w:rPr>
                <w:rFonts w:ascii="Times New Roman" w:hAnsi="Times New Roman"/>
                <w:color w:val="000000"/>
                <w:kern w:val="0"/>
                <w:sz w:val="13"/>
                <w:szCs w:val="13"/>
              </w:rPr>
            </w:pPr>
            <w:r w:rsidRPr="002775A8">
              <w:rPr>
                <w:rFonts w:ascii="Times New Roman" w:hAnsi="Times New Roman"/>
                <w:color w:val="000000"/>
                <w:kern w:val="0"/>
                <w:sz w:val="13"/>
                <w:szCs w:val="13"/>
              </w:rPr>
              <w:t>Life time incidence of ESCC</w:t>
            </w:r>
          </w:p>
        </w:tc>
        <w:tc>
          <w:tcPr>
            <w:tcW w:w="306" w:type="pct"/>
            <w:vMerge w:val="restart"/>
            <w:tcBorders>
              <w:top w:val="nil"/>
              <w:left w:val="nil"/>
              <w:bottom w:val="single" w:sz="4" w:space="0" w:color="000000"/>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LYs</w:t>
            </w:r>
          </w:p>
        </w:tc>
        <w:tc>
          <w:tcPr>
            <w:tcW w:w="378" w:type="pct"/>
            <w:vMerge w:val="restart"/>
            <w:tcBorders>
              <w:top w:val="nil"/>
              <w:left w:val="nil"/>
              <w:bottom w:val="single" w:sz="4" w:space="0" w:color="000000"/>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QALYs</w:t>
            </w:r>
          </w:p>
        </w:tc>
        <w:tc>
          <w:tcPr>
            <w:tcW w:w="385" w:type="pct"/>
            <w:vMerge w:val="restart"/>
            <w:tcBorders>
              <w:top w:val="nil"/>
              <w:left w:val="nil"/>
              <w:bottom w:val="single" w:sz="4" w:space="0" w:color="000000"/>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Cost ($)</w:t>
            </w:r>
          </w:p>
        </w:tc>
        <w:tc>
          <w:tcPr>
            <w:tcW w:w="351" w:type="pct"/>
            <w:vMerge w:val="restart"/>
            <w:tcBorders>
              <w:top w:val="nil"/>
              <w:left w:val="nil"/>
              <w:bottom w:val="single" w:sz="4" w:space="0" w:color="000000"/>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ICER*</w:t>
            </w:r>
          </w:p>
        </w:tc>
      </w:tr>
      <w:tr w:rsidR="002D0968" w:rsidRPr="00394251" w:rsidTr="00F96CE8">
        <w:trPr>
          <w:trHeight w:val="270"/>
        </w:trPr>
        <w:tc>
          <w:tcPr>
            <w:tcW w:w="1675" w:type="pct"/>
            <w:vMerge/>
            <w:tcBorders>
              <w:top w:val="nil"/>
              <w:left w:val="nil"/>
              <w:bottom w:val="single" w:sz="4" w:space="0" w:color="000000"/>
              <w:right w:val="nil"/>
            </w:tcBorders>
            <w:vAlign w:val="center"/>
            <w:hideMark/>
          </w:tcPr>
          <w:p w:rsidR="002D0968" w:rsidRPr="002775A8" w:rsidRDefault="002D0968" w:rsidP="00F96CE8">
            <w:pPr>
              <w:widowControl/>
              <w:jc w:val="left"/>
              <w:rPr>
                <w:rFonts w:ascii="Times New Roman" w:hAnsi="Times New Roman"/>
                <w:color w:val="000000"/>
                <w:kern w:val="0"/>
                <w:sz w:val="13"/>
                <w:szCs w:val="13"/>
              </w:rPr>
            </w:pPr>
          </w:p>
        </w:tc>
        <w:tc>
          <w:tcPr>
            <w:tcW w:w="350" w:type="pct"/>
            <w:tcBorders>
              <w:top w:val="single" w:sz="4" w:space="0" w:color="auto"/>
              <w:left w:val="nil"/>
              <w:bottom w:val="single" w:sz="4" w:space="0" w:color="auto"/>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TNM I</w:t>
            </w:r>
          </w:p>
        </w:tc>
        <w:tc>
          <w:tcPr>
            <w:tcW w:w="376" w:type="pct"/>
            <w:tcBorders>
              <w:top w:val="single" w:sz="4" w:space="0" w:color="auto"/>
              <w:left w:val="nil"/>
              <w:bottom w:val="single" w:sz="4" w:space="0" w:color="auto"/>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TNM II</w:t>
            </w:r>
          </w:p>
        </w:tc>
        <w:tc>
          <w:tcPr>
            <w:tcW w:w="402" w:type="pct"/>
            <w:tcBorders>
              <w:top w:val="single" w:sz="4" w:space="0" w:color="auto"/>
              <w:left w:val="nil"/>
              <w:bottom w:val="single" w:sz="4" w:space="0" w:color="auto"/>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TNM III</w:t>
            </w:r>
          </w:p>
        </w:tc>
        <w:tc>
          <w:tcPr>
            <w:tcW w:w="406" w:type="pct"/>
            <w:tcBorders>
              <w:top w:val="single" w:sz="4" w:space="0" w:color="auto"/>
              <w:left w:val="nil"/>
              <w:bottom w:val="single" w:sz="4" w:space="0" w:color="auto"/>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TNM IV</w:t>
            </w:r>
          </w:p>
        </w:tc>
        <w:tc>
          <w:tcPr>
            <w:tcW w:w="371" w:type="pct"/>
            <w:tcBorders>
              <w:top w:val="single" w:sz="4" w:space="0" w:color="auto"/>
              <w:left w:val="nil"/>
              <w:bottom w:val="single" w:sz="4" w:space="0" w:color="auto"/>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Total</w:t>
            </w:r>
          </w:p>
        </w:tc>
        <w:tc>
          <w:tcPr>
            <w:tcW w:w="306" w:type="pct"/>
            <w:vMerge/>
            <w:tcBorders>
              <w:top w:val="nil"/>
              <w:left w:val="nil"/>
              <w:bottom w:val="single" w:sz="4" w:space="0" w:color="000000"/>
              <w:right w:val="nil"/>
            </w:tcBorders>
            <w:vAlign w:val="center"/>
            <w:hideMark/>
          </w:tcPr>
          <w:p w:rsidR="002D0968" w:rsidRPr="002775A8" w:rsidRDefault="002D0968" w:rsidP="00F96CE8">
            <w:pPr>
              <w:widowControl/>
              <w:jc w:val="left"/>
              <w:rPr>
                <w:rFonts w:ascii="Times New Roman" w:hAnsi="Times New Roman"/>
                <w:color w:val="000000"/>
                <w:kern w:val="0"/>
                <w:sz w:val="13"/>
                <w:szCs w:val="13"/>
              </w:rPr>
            </w:pPr>
          </w:p>
        </w:tc>
        <w:tc>
          <w:tcPr>
            <w:tcW w:w="378" w:type="pct"/>
            <w:vMerge/>
            <w:tcBorders>
              <w:top w:val="nil"/>
              <w:left w:val="nil"/>
              <w:bottom w:val="single" w:sz="4" w:space="0" w:color="000000"/>
              <w:right w:val="nil"/>
            </w:tcBorders>
            <w:vAlign w:val="center"/>
            <w:hideMark/>
          </w:tcPr>
          <w:p w:rsidR="002D0968" w:rsidRPr="002775A8" w:rsidRDefault="002D0968" w:rsidP="00F96CE8">
            <w:pPr>
              <w:widowControl/>
              <w:jc w:val="left"/>
              <w:rPr>
                <w:rFonts w:ascii="Times New Roman" w:hAnsi="Times New Roman"/>
                <w:color w:val="000000"/>
                <w:kern w:val="0"/>
                <w:sz w:val="13"/>
                <w:szCs w:val="13"/>
              </w:rPr>
            </w:pPr>
          </w:p>
        </w:tc>
        <w:tc>
          <w:tcPr>
            <w:tcW w:w="385" w:type="pct"/>
            <w:vMerge/>
            <w:tcBorders>
              <w:top w:val="nil"/>
              <w:left w:val="nil"/>
              <w:bottom w:val="single" w:sz="4" w:space="0" w:color="000000"/>
              <w:right w:val="nil"/>
            </w:tcBorders>
            <w:vAlign w:val="center"/>
            <w:hideMark/>
          </w:tcPr>
          <w:p w:rsidR="002D0968" w:rsidRPr="002775A8" w:rsidRDefault="002D0968" w:rsidP="00F96CE8">
            <w:pPr>
              <w:widowControl/>
              <w:jc w:val="left"/>
              <w:rPr>
                <w:rFonts w:ascii="Times New Roman" w:hAnsi="Times New Roman"/>
                <w:color w:val="000000"/>
                <w:kern w:val="0"/>
                <w:sz w:val="13"/>
                <w:szCs w:val="13"/>
              </w:rPr>
            </w:pPr>
          </w:p>
        </w:tc>
        <w:tc>
          <w:tcPr>
            <w:tcW w:w="351" w:type="pct"/>
            <w:vMerge/>
            <w:tcBorders>
              <w:top w:val="nil"/>
              <w:left w:val="nil"/>
              <w:bottom w:val="single" w:sz="4" w:space="0" w:color="000000"/>
              <w:right w:val="nil"/>
            </w:tcBorders>
            <w:vAlign w:val="center"/>
            <w:hideMark/>
          </w:tcPr>
          <w:p w:rsidR="002D0968" w:rsidRPr="002775A8" w:rsidRDefault="002D0968" w:rsidP="00F96CE8">
            <w:pPr>
              <w:widowControl/>
              <w:jc w:val="left"/>
              <w:rPr>
                <w:rFonts w:ascii="Times New Roman" w:hAnsi="Times New Roman"/>
                <w:color w:val="000000"/>
                <w:kern w:val="0"/>
                <w:sz w:val="13"/>
                <w:szCs w:val="13"/>
              </w:rPr>
            </w:pP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No screening (reference strategy)</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1.14%</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5.05%</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4.91%</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2.66%</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13.75%</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59.52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19.45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83.97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NA</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Screening starting at 30 years old</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0.88%</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1.25%</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1.07%</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0.54%</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3.74%</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60.70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19.54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138.54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638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3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1.25%</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2.23%</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2.03%</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1.07%</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6.58%</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60.41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19.52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83.85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-2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5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1.33%</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2.82%</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2.61%</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1.39%</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8.16%</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60.22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19.50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79.27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-94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10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1.32%</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3.76%</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3.56%</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1.91%</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10.56%</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59.95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19.48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80.61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-109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Life time once</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1.14%</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5.04%</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4.89%</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2.65%</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13.71%</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59.54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19.45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88.86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2591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Screening starting at 35 years old</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0.90%</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1.27%</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1.09%</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0.55%</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3.80%</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60.68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19.54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112.88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346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3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1.29%</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2.09%</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1.88%</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0.99%</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6.25%</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60.41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19.52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75.47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-135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5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1.34%</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2.83%</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2.62%</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1.40%</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8.19%</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60.21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19.50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74.18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-200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10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1.40%</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3.51%</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3.30%</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1.77%</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9.99%</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59.98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19.48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76.78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-224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Life time once</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1.14%</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5.00%</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4.85%</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2.63%</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13.62%</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59.56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19.46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86.77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698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Screening starting at 40 years old</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0.94%</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1.32%</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1.13%</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0.58%</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3.97%</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60.65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19.53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94.24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129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3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1.30%</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2.21%</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2.00%</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1.06%</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6.57%</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60.37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19.51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70.28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-233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5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1.35%</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2.86%</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2.65%</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1.41%</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8.28%</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60.19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19.50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70.91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-282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10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1.32%</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3.78%</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3.58%</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1.92%</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10.60%</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59.94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19.48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75.66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-284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Life time once</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1.14%</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4.91%</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4.76%</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2.57%</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13.38%</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59.61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19.46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84.08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13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Screening starting at 45 years old</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1.07%</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1.46%</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1.26%</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0.65%</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4.43%</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60.56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19.52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82.46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-21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3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1.34%</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2.41%</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2.20%</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1.17%</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7.12%</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60.29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19.50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68.40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-304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5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1.38%</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2.95%</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2.73%</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1.46%</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8.52%</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60.14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19.49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69.83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-344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10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1.41%</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3.55%</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3.35%</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1.80%</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10.11%</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59.95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19.48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73.83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-356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Life time once</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1.15%</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4.72%</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4.56%</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2.46%</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12.90%</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59.68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19.47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80.77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-249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Screening starting at 50 years old</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1.27%</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1.76%</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1.53%</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0.80%</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5.37%</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60.40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19.51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77.33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-117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3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1.47%</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2.51%</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2.30%</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1.23%</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7.51%</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60.17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19.49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69.60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-354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5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1.43%</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3.14%</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2.93%</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1.57%</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9.07%</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60.03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19.48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71.37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-389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10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1.34%</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3.90%</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3.70%</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1.99%</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10.92%</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59.87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19.47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75.24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-391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Life time once</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1.20%</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4.52%</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4.35%</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2.34%</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12.41%</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59.73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19.47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78.85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-349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Screening starting at 55 years old</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1.49%</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2.25%</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2.00%</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1.07%</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6.82%</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60.18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19.49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76.71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-184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3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1.53%</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3.01%</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2.79%</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1.50%</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8.83%</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59.98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19.48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73.22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-398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5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1.47%</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3.47%</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3.26%</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1.75%</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9.95%</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59.89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19.47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74.58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-430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10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1.44%</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3.83%</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3.63%</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1.96%</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10.85%</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59.81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19.47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76.52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-439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Life time once</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1.27%</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4.39%</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4.20%</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2.27%</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12.12%</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59.72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19.46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78.74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-412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jc w:val="left"/>
              <w:rPr>
                <w:rFonts w:ascii="Times New Roman" w:hAnsi="Times New Roman"/>
                <w:color w:val="000000"/>
                <w:kern w:val="0"/>
                <w:sz w:val="13"/>
                <w:szCs w:val="13"/>
              </w:rPr>
            </w:pPr>
            <w:r w:rsidRPr="002775A8">
              <w:rPr>
                <w:rFonts w:ascii="Times New Roman" w:hAnsi="Times New Roman"/>
                <w:color w:val="000000"/>
                <w:kern w:val="0"/>
                <w:sz w:val="13"/>
                <w:szCs w:val="13"/>
              </w:rPr>
              <w:t>Screening starting at 60 years old</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1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1.64%</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2.89%</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2.64%</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1.42%</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8.59%</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59.95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19.48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78.18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-247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3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1.54%</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3.62%</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3.41%</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1.85%</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10.42%</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59.80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19.47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77.34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-447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Every 5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1.47%</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3.90%</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3.70%</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2.00%</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11.06%</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59.75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19.46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78.17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-472 </w:t>
            </w:r>
          </w:p>
        </w:tc>
      </w:tr>
      <w:tr w:rsidR="002D0968" w:rsidRPr="00E14B40"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lastRenderedPageBreak/>
              <w:t>Every 10 year</w:t>
            </w:r>
          </w:p>
        </w:tc>
        <w:tc>
          <w:tcPr>
            <w:tcW w:w="350"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1.33%</w:t>
            </w:r>
          </w:p>
        </w:tc>
        <w:tc>
          <w:tcPr>
            <w:tcW w:w="37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4.35%</w:t>
            </w:r>
          </w:p>
        </w:tc>
        <w:tc>
          <w:tcPr>
            <w:tcW w:w="402"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4.16%</w:t>
            </w:r>
          </w:p>
        </w:tc>
        <w:tc>
          <w:tcPr>
            <w:tcW w:w="4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2.25%</w:t>
            </w:r>
          </w:p>
        </w:tc>
        <w:tc>
          <w:tcPr>
            <w:tcW w:w="37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12.09%</w:t>
            </w:r>
          </w:p>
        </w:tc>
        <w:tc>
          <w:tcPr>
            <w:tcW w:w="306"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59.68 </w:t>
            </w:r>
          </w:p>
        </w:tc>
        <w:tc>
          <w:tcPr>
            <w:tcW w:w="378"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19.46 </w:t>
            </w:r>
          </w:p>
        </w:tc>
        <w:tc>
          <w:tcPr>
            <w:tcW w:w="385"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79.80 </w:t>
            </w:r>
          </w:p>
        </w:tc>
        <w:tc>
          <w:tcPr>
            <w:tcW w:w="351" w:type="pct"/>
            <w:tcBorders>
              <w:top w:val="nil"/>
              <w:left w:val="nil"/>
              <w:bottom w:val="nil"/>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-470 </w:t>
            </w:r>
          </w:p>
        </w:tc>
      </w:tr>
      <w:tr w:rsidR="002D0968" w:rsidRPr="00E14B40" w:rsidTr="00F96CE8">
        <w:trPr>
          <w:trHeight w:val="270"/>
        </w:trPr>
        <w:tc>
          <w:tcPr>
            <w:tcW w:w="1675" w:type="pct"/>
            <w:tcBorders>
              <w:top w:val="nil"/>
              <w:left w:val="nil"/>
              <w:bottom w:val="single" w:sz="4" w:space="0" w:color="auto"/>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Life time once</w:t>
            </w:r>
          </w:p>
        </w:tc>
        <w:tc>
          <w:tcPr>
            <w:tcW w:w="350" w:type="pct"/>
            <w:tcBorders>
              <w:top w:val="nil"/>
              <w:left w:val="nil"/>
              <w:bottom w:val="single" w:sz="4" w:space="0" w:color="auto"/>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1.33%</w:t>
            </w:r>
          </w:p>
        </w:tc>
        <w:tc>
          <w:tcPr>
            <w:tcW w:w="376" w:type="pct"/>
            <w:tcBorders>
              <w:top w:val="nil"/>
              <w:left w:val="nil"/>
              <w:bottom w:val="single" w:sz="4" w:space="0" w:color="auto"/>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4.35%</w:t>
            </w:r>
          </w:p>
        </w:tc>
        <w:tc>
          <w:tcPr>
            <w:tcW w:w="402" w:type="pct"/>
            <w:tcBorders>
              <w:top w:val="nil"/>
              <w:left w:val="nil"/>
              <w:bottom w:val="single" w:sz="4" w:space="0" w:color="auto"/>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4.16%</w:t>
            </w:r>
          </w:p>
        </w:tc>
        <w:tc>
          <w:tcPr>
            <w:tcW w:w="406" w:type="pct"/>
            <w:tcBorders>
              <w:top w:val="nil"/>
              <w:left w:val="nil"/>
              <w:bottom w:val="single" w:sz="4" w:space="0" w:color="auto"/>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2.25%</w:t>
            </w:r>
          </w:p>
        </w:tc>
        <w:tc>
          <w:tcPr>
            <w:tcW w:w="371" w:type="pct"/>
            <w:tcBorders>
              <w:top w:val="nil"/>
              <w:left w:val="nil"/>
              <w:bottom w:val="single" w:sz="4" w:space="0" w:color="auto"/>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12.09%</w:t>
            </w:r>
          </w:p>
        </w:tc>
        <w:tc>
          <w:tcPr>
            <w:tcW w:w="306" w:type="pct"/>
            <w:tcBorders>
              <w:top w:val="nil"/>
              <w:left w:val="nil"/>
              <w:bottom w:val="single" w:sz="4" w:space="0" w:color="auto"/>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59.68 </w:t>
            </w:r>
          </w:p>
        </w:tc>
        <w:tc>
          <w:tcPr>
            <w:tcW w:w="378" w:type="pct"/>
            <w:tcBorders>
              <w:top w:val="nil"/>
              <w:left w:val="nil"/>
              <w:bottom w:val="single" w:sz="4" w:space="0" w:color="auto"/>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19.46 </w:t>
            </w:r>
          </w:p>
        </w:tc>
        <w:tc>
          <w:tcPr>
            <w:tcW w:w="385" w:type="pct"/>
            <w:tcBorders>
              <w:top w:val="nil"/>
              <w:left w:val="nil"/>
              <w:bottom w:val="single" w:sz="4" w:space="0" w:color="auto"/>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79.80 </w:t>
            </w:r>
          </w:p>
        </w:tc>
        <w:tc>
          <w:tcPr>
            <w:tcW w:w="351" w:type="pct"/>
            <w:tcBorders>
              <w:top w:val="nil"/>
              <w:left w:val="nil"/>
              <w:bottom w:val="single" w:sz="4" w:space="0" w:color="auto"/>
              <w:right w:val="nil"/>
            </w:tcBorders>
            <w:shd w:val="clear" w:color="auto" w:fill="auto"/>
            <w:noWrap/>
            <w:hideMark/>
          </w:tcPr>
          <w:p w:rsidR="002D0968" w:rsidRPr="00822192" w:rsidRDefault="002D0968" w:rsidP="00F96CE8">
            <w:pPr>
              <w:rPr>
                <w:rFonts w:ascii="Times New Roman" w:hAnsi="Times New Roman"/>
                <w:color w:val="000000"/>
                <w:kern w:val="0"/>
                <w:sz w:val="13"/>
                <w:szCs w:val="13"/>
              </w:rPr>
            </w:pPr>
            <w:r w:rsidRPr="00E14B40">
              <w:rPr>
                <w:rFonts w:ascii="Times New Roman" w:hAnsi="Times New Roman"/>
                <w:color w:val="000000"/>
                <w:kern w:val="0"/>
                <w:sz w:val="13"/>
                <w:szCs w:val="13"/>
              </w:rPr>
              <w:t xml:space="preserve">-470 </w:t>
            </w:r>
          </w:p>
        </w:tc>
      </w:tr>
      <w:tr w:rsidR="002D0968" w:rsidRPr="00394251" w:rsidTr="00F96CE8">
        <w:trPr>
          <w:trHeight w:val="270"/>
        </w:trPr>
        <w:tc>
          <w:tcPr>
            <w:tcW w:w="1675"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r w:rsidRPr="002775A8">
              <w:rPr>
                <w:rFonts w:ascii="Times New Roman" w:hAnsi="Times New Roman"/>
                <w:color w:val="000000"/>
                <w:kern w:val="0"/>
                <w:sz w:val="13"/>
                <w:szCs w:val="13"/>
              </w:rPr>
              <w:t>* Compared with no screening</w:t>
            </w:r>
          </w:p>
        </w:tc>
        <w:tc>
          <w:tcPr>
            <w:tcW w:w="350" w:type="pct"/>
            <w:tcBorders>
              <w:top w:val="nil"/>
              <w:left w:val="nil"/>
              <w:bottom w:val="nil"/>
              <w:right w:val="nil"/>
            </w:tcBorders>
            <w:shd w:val="clear" w:color="auto" w:fill="auto"/>
            <w:noWrap/>
            <w:vAlign w:val="center"/>
            <w:hideMark/>
          </w:tcPr>
          <w:p w:rsidR="002D0968" w:rsidRPr="002775A8" w:rsidRDefault="002D0968" w:rsidP="00F96CE8">
            <w:pPr>
              <w:widowControl/>
              <w:ind w:firstLineChars="100" w:firstLine="130"/>
              <w:jc w:val="left"/>
              <w:rPr>
                <w:rFonts w:ascii="Times New Roman" w:hAnsi="Times New Roman"/>
                <w:color w:val="000000"/>
                <w:kern w:val="0"/>
                <w:sz w:val="13"/>
                <w:szCs w:val="13"/>
              </w:rPr>
            </w:pPr>
          </w:p>
        </w:tc>
        <w:tc>
          <w:tcPr>
            <w:tcW w:w="376" w:type="pct"/>
            <w:tcBorders>
              <w:top w:val="nil"/>
              <w:left w:val="nil"/>
              <w:bottom w:val="nil"/>
              <w:right w:val="nil"/>
            </w:tcBorders>
            <w:shd w:val="clear" w:color="auto" w:fill="auto"/>
            <w:noWrap/>
            <w:vAlign w:val="center"/>
            <w:hideMark/>
          </w:tcPr>
          <w:p w:rsidR="002D0968" w:rsidRPr="00D27179" w:rsidRDefault="002D0968" w:rsidP="00F96CE8">
            <w:pPr>
              <w:widowControl/>
              <w:jc w:val="left"/>
              <w:rPr>
                <w:rFonts w:ascii="Times New Roman" w:eastAsia="Times New Roman" w:hAnsi="Times New Roman"/>
                <w:kern w:val="0"/>
                <w:sz w:val="13"/>
                <w:szCs w:val="13"/>
              </w:rPr>
            </w:pPr>
          </w:p>
        </w:tc>
        <w:tc>
          <w:tcPr>
            <w:tcW w:w="402" w:type="pct"/>
            <w:tcBorders>
              <w:top w:val="nil"/>
              <w:left w:val="nil"/>
              <w:bottom w:val="nil"/>
              <w:right w:val="nil"/>
            </w:tcBorders>
            <w:shd w:val="clear" w:color="auto" w:fill="auto"/>
            <w:noWrap/>
            <w:vAlign w:val="center"/>
            <w:hideMark/>
          </w:tcPr>
          <w:p w:rsidR="002D0968" w:rsidRPr="00D27179" w:rsidRDefault="002D0968" w:rsidP="00F96CE8">
            <w:pPr>
              <w:widowControl/>
              <w:jc w:val="left"/>
              <w:rPr>
                <w:rFonts w:ascii="Times New Roman" w:eastAsia="Times New Roman" w:hAnsi="Times New Roman"/>
                <w:kern w:val="0"/>
                <w:sz w:val="13"/>
                <w:szCs w:val="13"/>
              </w:rPr>
            </w:pPr>
          </w:p>
        </w:tc>
        <w:tc>
          <w:tcPr>
            <w:tcW w:w="406" w:type="pct"/>
            <w:tcBorders>
              <w:top w:val="nil"/>
              <w:left w:val="nil"/>
              <w:bottom w:val="nil"/>
              <w:right w:val="nil"/>
            </w:tcBorders>
            <w:shd w:val="clear" w:color="auto" w:fill="auto"/>
            <w:noWrap/>
            <w:vAlign w:val="center"/>
            <w:hideMark/>
          </w:tcPr>
          <w:p w:rsidR="002D0968" w:rsidRPr="00D27179" w:rsidRDefault="002D0968" w:rsidP="00F96CE8">
            <w:pPr>
              <w:widowControl/>
              <w:jc w:val="left"/>
              <w:rPr>
                <w:rFonts w:ascii="Times New Roman" w:eastAsia="Times New Roman" w:hAnsi="Times New Roman"/>
                <w:kern w:val="0"/>
                <w:sz w:val="13"/>
                <w:szCs w:val="13"/>
              </w:rPr>
            </w:pPr>
          </w:p>
        </w:tc>
        <w:tc>
          <w:tcPr>
            <w:tcW w:w="371" w:type="pct"/>
            <w:tcBorders>
              <w:top w:val="nil"/>
              <w:left w:val="nil"/>
              <w:bottom w:val="nil"/>
              <w:right w:val="nil"/>
            </w:tcBorders>
            <w:shd w:val="clear" w:color="auto" w:fill="auto"/>
            <w:noWrap/>
            <w:vAlign w:val="center"/>
            <w:hideMark/>
          </w:tcPr>
          <w:p w:rsidR="002D0968" w:rsidRPr="00D27179" w:rsidRDefault="002D0968" w:rsidP="00F96CE8">
            <w:pPr>
              <w:widowControl/>
              <w:jc w:val="left"/>
              <w:rPr>
                <w:rFonts w:ascii="Times New Roman" w:eastAsia="Times New Roman" w:hAnsi="Times New Roman"/>
                <w:kern w:val="0"/>
                <w:sz w:val="13"/>
                <w:szCs w:val="13"/>
              </w:rPr>
            </w:pPr>
          </w:p>
        </w:tc>
        <w:tc>
          <w:tcPr>
            <w:tcW w:w="306" w:type="pct"/>
            <w:tcBorders>
              <w:top w:val="nil"/>
              <w:left w:val="nil"/>
              <w:bottom w:val="nil"/>
              <w:right w:val="nil"/>
            </w:tcBorders>
            <w:shd w:val="clear" w:color="auto" w:fill="auto"/>
            <w:noWrap/>
            <w:vAlign w:val="center"/>
            <w:hideMark/>
          </w:tcPr>
          <w:p w:rsidR="002D0968" w:rsidRPr="00D27179" w:rsidRDefault="002D0968" w:rsidP="00F96CE8">
            <w:pPr>
              <w:widowControl/>
              <w:jc w:val="left"/>
              <w:rPr>
                <w:rFonts w:ascii="Times New Roman" w:eastAsia="Times New Roman" w:hAnsi="Times New Roman"/>
                <w:kern w:val="0"/>
                <w:sz w:val="13"/>
                <w:szCs w:val="13"/>
              </w:rPr>
            </w:pPr>
          </w:p>
        </w:tc>
        <w:tc>
          <w:tcPr>
            <w:tcW w:w="378" w:type="pct"/>
            <w:tcBorders>
              <w:top w:val="nil"/>
              <w:left w:val="nil"/>
              <w:bottom w:val="nil"/>
              <w:right w:val="nil"/>
            </w:tcBorders>
            <w:shd w:val="clear" w:color="auto" w:fill="auto"/>
            <w:noWrap/>
            <w:vAlign w:val="center"/>
            <w:hideMark/>
          </w:tcPr>
          <w:p w:rsidR="002D0968" w:rsidRPr="00D27179" w:rsidRDefault="002D0968" w:rsidP="00F96CE8">
            <w:pPr>
              <w:widowControl/>
              <w:jc w:val="left"/>
              <w:rPr>
                <w:rFonts w:ascii="Times New Roman" w:eastAsia="Times New Roman" w:hAnsi="Times New Roman"/>
                <w:kern w:val="0"/>
                <w:sz w:val="13"/>
                <w:szCs w:val="13"/>
              </w:rPr>
            </w:pPr>
          </w:p>
        </w:tc>
        <w:tc>
          <w:tcPr>
            <w:tcW w:w="385" w:type="pct"/>
            <w:tcBorders>
              <w:top w:val="nil"/>
              <w:left w:val="nil"/>
              <w:bottom w:val="nil"/>
              <w:right w:val="nil"/>
            </w:tcBorders>
            <w:shd w:val="clear" w:color="auto" w:fill="auto"/>
            <w:noWrap/>
            <w:vAlign w:val="center"/>
            <w:hideMark/>
          </w:tcPr>
          <w:p w:rsidR="002D0968" w:rsidRPr="00D27179" w:rsidRDefault="002D0968" w:rsidP="00F96CE8">
            <w:pPr>
              <w:widowControl/>
              <w:jc w:val="left"/>
              <w:rPr>
                <w:rFonts w:ascii="Times New Roman" w:eastAsia="Times New Roman" w:hAnsi="Times New Roman"/>
                <w:kern w:val="0"/>
                <w:sz w:val="13"/>
                <w:szCs w:val="13"/>
              </w:rPr>
            </w:pPr>
          </w:p>
        </w:tc>
        <w:tc>
          <w:tcPr>
            <w:tcW w:w="351" w:type="pct"/>
            <w:tcBorders>
              <w:top w:val="nil"/>
              <w:left w:val="nil"/>
              <w:bottom w:val="nil"/>
              <w:right w:val="nil"/>
            </w:tcBorders>
            <w:shd w:val="clear" w:color="auto" w:fill="auto"/>
            <w:noWrap/>
            <w:vAlign w:val="center"/>
            <w:hideMark/>
          </w:tcPr>
          <w:p w:rsidR="002D0968" w:rsidRPr="00D27179" w:rsidRDefault="002D0968" w:rsidP="00F96CE8">
            <w:pPr>
              <w:widowControl/>
              <w:jc w:val="left"/>
              <w:rPr>
                <w:rFonts w:ascii="Times New Roman" w:eastAsia="Times New Roman" w:hAnsi="Times New Roman"/>
                <w:kern w:val="0"/>
                <w:sz w:val="13"/>
                <w:szCs w:val="13"/>
              </w:rPr>
            </w:pPr>
          </w:p>
        </w:tc>
      </w:tr>
    </w:tbl>
    <w:p w:rsidR="002D0968" w:rsidRDefault="002D0968" w:rsidP="002D0968">
      <w:pPr>
        <w:autoSpaceDE w:val="0"/>
        <w:autoSpaceDN w:val="0"/>
        <w:adjustRightInd w:val="0"/>
        <w:rPr>
          <w:rFonts w:ascii="Times New Roman" w:hAnsi="Times New Roman"/>
        </w:rPr>
      </w:pPr>
    </w:p>
    <w:p w:rsidR="002D0968" w:rsidRPr="00A46978" w:rsidRDefault="002D0968" w:rsidP="002D0968"/>
    <w:p w:rsidR="002D0968" w:rsidRDefault="002D0968" w:rsidP="002D0968"/>
    <w:p w:rsidR="002D0968" w:rsidRPr="0097561E" w:rsidRDefault="002D0968" w:rsidP="002D0968">
      <w:pPr>
        <w:spacing w:line="480" w:lineRule="auto"/>
        <w:rPr>
          <w:rFonts w:ascii="Times New Roman" w:hAnsi="Times New Roman"/>
          <w:b/>
          <w:color w:val="000000"/>
        </w:rPr>
      </w:pPr>
    </w:p>
    <w:p w:rsidR="00303CD5" w:rsidRDefault="00303CD5"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Default="002D0968" w:rsidP="00303CD5">
      <w:pPr>
        <w:pStyle w:val="Standard"/>
        <w:widowControl/>
        <w:spacing w:before="280"/>
        <w:jc w:val="left"/>
        <w:rPr>
          <w:rFonts w:ascii="Times New Roman" w:hAnsi="Times New Roman" w:cs="Times New Roman"/>
          <w:kern w:val="0"/>
          <w:sz w:val="24"/>
          <w:szCs w:val="24"/>
        </w:rPr>
      </w:pPr>
    </w:p>
    <w:p w:rsidR="002D0968" w:rsidRPr="00D5176D" w:rsidRDefault="002D0968" w:rsidP="00303CD5">
      <w:pPr>
        <w:pStyle w:val="Standard"/>
        <w:widowControl/>
        <w:spacing w:before="280"/>
        <w:jc w:val="left"/>
        <w:rPr>
          <w:rFonts w:ascii="Times New Roman" w:hAnsi="Times New Roman" w:cs="Times New Roman"/>
          <w:kern w:val="0"/>
          <w:sz w:val="24"/>
          <w:szCs w:val="24"/>
        </w:rPr>
      </w:pPr>
    </w:p>
    <w:tbl>
      <w:tblPr>
        <w:tblW w:w="5000" w:type="pct"/>
        <w:tblLayout w:type="fixed"/>
        <w:tblCellMar>
          <w:left w:w="10" w:type="dxa"/>
          <w:right w:w="10" w:type="dxa"/>
        </w:tblCellMar>
        <w:tblLook w:val="04A0" w:firstRow="1" w:lastRow="0" w:firstColumn="1" w:lastColumn="0" w:noHBand="0" w:noVBand="1"/>
      </w:tblPr>
      <w:tblGrid>
        <w:gridCol w:w="1844"/>
        <w:gridCol w:w="1034"/>
        <w:gridCol w:w="1987"/>
        <w:gridCol w:w="1405"/>
        <w:gridCol w:w="830"/>
        <w:gridCol w:w="1212"/>
      </w:tblGrid>
      <w:tr w:rsidR="00303CD5" w:rsidRPr="00D5176D" w:rsidTr="00FD5F73">
        <w:trPr>
          <w:trHeight w:hRule="exact" w:val="340"/>
        </w:trPr>
        <w:tc>
          <w:tcPr>
            <w:tcW w:w="8312" w:type="dxa"/>
            <w:gridSpan w:val="6"/>
            <w:tcMar>
              <w:top w:w="0" w:type="dxa"/>
              <w:left w:w="0" w:type="dxa"/>
              <w:bottom w:w="0" w:type="dxa"/>
              <w:right w:w="0" w:type="dxa"/>
            </w:tcMar>
            <w:vAlign w:val="center"/>
          </w:tcPr>
          <w:p w:rsidR="00303CD5" w:rsidRPr="00D5176D" w:rsidRDefault="00D5176D" w:rsidP="002D0968">
            <w:pPr>
              <w:pStyle w:val="Standard"/>
              <w:widowControl/>
              <w:spacing w:line="276" w:lineRule="auto"/>
              <w:jc w:val="left"/>
              <w:rPr>
                <w:rFonts w:ascii="Times New Roman" w:hAnsi="Times New Roman" w:cs="Times New Roman"/>
              </w:rPr>
            </w:pPr>
            <w:r w:rsidRPr="00D5176D">
              <w:rPr>
                <w:rFonts w:ascii="Times New Roman" w:hAnsi="Times New Roman" w:cs="Times New Roman"/>
                <w:color w:val="000000"/>
                <w:kern w:val="0"/>
                <w:sz w:val="14"/>
                <w:szCs w:val="14"/>
              </w:rPr>
              <w:lastRenderedPageBreak/>
              <w:t>Supplementary</w:t>
            </w:r>
            <w:r>
              <w:rPr>
                <w:rFonts w:ascii="Times New Roman" w:hAnsi="Times New Roman" w:cs="Times New Roman"/>
                <w:color w:val="000000"/>
                <w:kern w:val="0"/>
                <w:sz w:val="14"/>
                <w:szCs w:val="14"/>
              </w:rPr>
              <w:t xml:space="preserve"> </w:t>
            </w:r>
            <w:r w:rsidR="00303CD5" w:rsidRPr="00D5176D">
              <w:rPr>
                <w:rFonts w:ascii="Times New Roman" w:hAnsi="Times New Roman" w:cs="Times New Roman"/>
                <w:color w:val="000000"/>
                <w:kern w:val="0"/>
                <w:sz w:val="14"/>
                <w:szCs w:val="14"/>
              </w:rPr>
              <w:t xml:space="preserve">Table </w:t>
            </w:r>
            <w:r w:rsidR="00DC6D38">
              <w:rPr>
                <w:rFonts w:ascii="Times New Roman" w:hAnsi="Times New Roman" w:cs="Times New Roman"/>
                <w:color w:val="000000"/>
                <w:kern w:val="0"/>
                <w:sz w:val="14"/>
                <w:szCs w:val="14"/>
              </w:rPr>
              <w:t>S</w:t>
            </w:r>
            <w:r w:rsidR="002D0968">
              <w:rPr>
                <w:rFonts w:ascii="Times New Roman" w:hAnsi="Times New Roman" w:cs="Times New Roman"/>
                <w:color w:val="000000"/>
                <w:kern w:val="0"/>
                <w:sz w:val="14"/>
                <w:szCs w:val="14"/>
              </w:rPr>
              <w:t>2</w:t>
            </w:r>
            <w:r w:rsidR="00303CD5" w:rsidRPr="00D5176D">
              <w:rPr>
                <w:rFonts w:ascii="Times New Roman" w:hAnsi="Times New Roman" w:cs="Times New Roman"/>
                <w:color w:val="000000"/>
                <w:kern w:val="0"/>
                <w:sz w:val="14"/>
                <w:szCs w:val="14"/>
              </w:rPr>
              <w:t>: Base-case undiscounted costs of 36 screening programs.</w:t>
            </w:r>
          </w:p>
        </w:tc>
      </w:tr>
      <w:tr w:rsidR="00303CD5" w:rsidRPr="00D5176D" w:rsidTr="00FD5F73">
        <w:trPr>
          <w:trHeight w:hRule="exact" w:val="340"/>
        </w:trPr>
        <w:tc>
          <w:tcPr>
            <w:tcW w:w="1844" w:type="dxa"/>
            <w:tcBorders>
              <w:top w:val="single" w:sz="6" w:space="0" w:color="000000"/>
              <w:bottom w:val="single" w:sz="6" w:space="0" w:color="000000"/>
            </w:tcBorders>
            <w:tcMar>
              <w:top w:w="28" w:type="dxa"/>
              <w:left w:w="0" w:type="dxa"/>
              <w:bottom w:w="28" w:type="dxa"/>
              <w:right w:w="0" w:type="dxa"/>
            </w:tcMar>
            <w:vAlign w:val="center"/>
          </w:tcPr>
          <w:p w:rsidR="00303CD5" w:rsidRPr="00D5176D" w:rsidRDefault="00303CD5" w:rsidP="0022400F">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Stragy_name</w:t>
            </w:r>
          </w:p>
        </w:tc>
        <w:tc>
          <w:tcPr>
            <w:tcW w:w="1034" w:type="dxa"/>
            <w:tcBorders>
              <w:top w:val="single" w:sz="6" w:space="0" w:color="000000"/>
              <w:bottom w:val="single" w:sz="6" w:space="0" w:color="000000"/>
            </w:tcBorders>
            <w:tcMar>
              <w:top w:w="28" w:type="dxa"/>
              <w:left w:w="0" w:type="dxa"/>
              <w:bottom w:w="28" w:type="dxa"/>
              <w:right w:w="0" w:type="dxa"/>
            </w:tcMar>
            <w:vAlign w:val="center"/>
          </w:tcPr>
          <w:p w:rsidR="00303CD5" w:rsidRPr="00D5176D" w:rsidRDefault="00303CD5" w:rsidP="00FD5F73">
            <w:pPr>
              <w:pStyle w:val="Standard"/>
              <w:widowControl/>
              <w:spacing w:line="276" w:lineRule="auto"/>
              <w:jc w:val="center"/>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Cost of screening</w:t>
            </w:r>
          </w:p>
        </w:tc>
        <w:tc>
          <w:tcPr>
            <w:tcW w:w="1987" w:type="dxa"/>
            <w:tcBorders>
              <w:top w:val="single" w:sz="6" w:space="0" w:color="000000"/>
              <w:bottom w:val="single" w:sz="6" w:space="0" w:color="000000"/>
            </w:tcBorders>
            <w:tcMar>
              <w:top w:w="28" w:type="dxa"/>
              <w:left w:w="0" w:type="dxa"/>
              <w:bottom w:w="28" w:type="dxa"/>
              <w:right w:w="0" w:type="dxa"/>
            </w:tcMar>
            <w:vAlign w:val="center"/>
          </w:tcPr>
          <w:p w:rsidR="00303CD5" w:rsidRPr="00D5176D" w:rsidRDefault="00303CD5" w:rsidP="00FD5F73">
            <w:pPr>
              <w:pStyle w:val="Standard"/>
              <w:widowControl/>
              <w:spacing w:line="276" w:lineRule="auto"/>
              <w:jc w:val="center"/>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Cost of precancerous lesions treatment</w:t>
            </w:r>
          </w:p>
        </w:tc>
        <w:tc>
          <w:tcPr>
            <w:tcW w:w="1405" w:type="dxa"/>
            <w:tcBorders>
              <w:top w:val="single" w:sz="6" w:space="0" w:color="000000"/>
              <w:bottom w:val="single" w:sz="6" w:space="0" w:color="000000"/>
            </w:tcBorders>
            <w:tcMar>
              <w:top w:w="28" w:type="dxa"/>
              <w:left w:w="0" w:type="dxa"/>
              <w:bottom w:w="28" w:type="dxa"/>
              <w:right w:w="0" w:type="dxa"/>
            </w:tcMar>
            <w:vAlign w:val="center"/>
          </w:tcPr>
          <w:p w:rsidR="00303CD5" w:rsidRPr="00D5176D" w:rsidRDefault="00303CD5" w:rsidP="00FD5F73">
            <w:pPr>
              <w:pStyle w:val="Standard"/>
              <w:widowControl/>
              <w:spacing w:line="276" w:lineRule="auto"/>
              <w:jc w:val="center"/>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Cost of cancer treatment</w:t>
            </w:r>
          </w:p>
        </w:tc>
        <w:tc>
          <w:tcPr>
            <w:tcW w:w="830" w:type="dxa"/>
            <w:tcBorders>
              <w:top w:val="single" w:sz="6" w:space="0" w:color="000000"/>
              <w:bottom w:val="single" w:sz="6" w:space="0" w:color="000000"/>
            </w:tcBorders>
            <w:tcMar>
              <w:top w:w="28" w:type="dxa"/>
              <w:left w:w="0" w:type="dxa"/>
              <w:bottom w:w="28" w:type="dxa"/>
              <w:right w:w="0" w:type="dxa"/>
            </w:tcMar>
            <w:vAlign w:val="center"/>
          </w:tcPr>
          <w:p w:rsidR="00303CD5" w:rsidRPr="00D5176D" w:rsidRDefault="00303CD5" w:rsidP="00FD5F73">
            <w:pPr>
              <w:pStyle w:val="Standard"/>
              <w:widowControl/>
              <w:spacing w:line="276" w:lineRule="auto"/>
              <w:jc w:val="center"/>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Total cost</w:t>
            </w:r>
          </w:p>
        </w:tc>
        <w:tc>
          <w:tcPr>
            <w:tcW w:w="1212" w:type="dxa"/>
            <w:tcBorders>
              <w:top w:val="single" w:sz="6" w:space="0" w:color="000000"/>
              <w:bottom w:val="single" w:sz="6" w:space="0" w:color="000000"/>
            </w:tcBorders>
            <w:tcMar>
              <w:top w:w="28" w:type="dxa"/>
              <w:left w:w="0" w:type="dxa"/>
              <w:bottom w:w="28" w:type="dxa"/>
              <w:right w:w="0" w:type="dxa"/>
            </w:tcMar>
            <w:vAlign w:val="center"/>
          </w:tcPr>
          <w:p w:rsidR="00303CD5" w:rsidRPr="00D5176D" w:rsidRDefault="00303CD5" w:rsidP="00FD5F73">
            <w:pPr>
              <w:pStyle w:val="Standard"/>
              <w:widowControl/>
              <w:spacing w:line="276" w:lineRule="auto"/>
              <w:jc w:val="center"/>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Difference*</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No screening</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0.00</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0.00</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535.53</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535.53</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30 years initiation every 1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636.51</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96.31</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89.40</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822.22</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286.69</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30 years initiation every 3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210.32</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72.76</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190.39</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473.48</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-62.05</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30 years initiation every 5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133.61</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58.35</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255.93</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447.89</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-87.64</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30 years initiation every 10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75.43</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35.36</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361.76</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472.56</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-62.97</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Lifetime once at 30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34.78</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1.36</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528.14</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564.28</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28.75</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35 years initiation every 1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470.54</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94.81</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96.86</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662.20</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126.67</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35 years initiation every 3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157.73</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74.14</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188.33</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420.20</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-115.33</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35 years initiation every 5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98.81</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57.49</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260.46</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416.76</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-118.77</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35 years initiation every 10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57.99</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39.42</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347.68</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445.09</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-90.43</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Lifetime once at 35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27.10</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3.13</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518.83</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549.05</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13.52</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40 years initiation every 1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341.04</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91.33</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113.87</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546.24</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10.72</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40 years initiation every 3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113.31</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70.02</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206.82</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390.14</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-145.38</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40 years initiation every 5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71.67</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55.49</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270.82</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397.98</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-137.55</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40 years initiation every 10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40.64</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34.18</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368.10</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442.92</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-92.60</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Lifetime once at 40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21.07</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6.75</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499.91</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527.73</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-7.80</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45 years initiation every 1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240.08</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83.88</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150.08</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474.04</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-61.49</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45 years initiation every 3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78.33</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62.57</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241.89</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382.80</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-152.73</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45 years initiation every 5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50.52</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51.15</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293.10</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394.76</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-140.76</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45 years initiation every 10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30.86</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36.69</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362.11</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429.67</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-105.86</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Lifetime once at 45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16.30</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12.31</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471.33</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499.94</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-35.59</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50 years initiation every 1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161.58</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71.02</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213.44</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446.04</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-89.49</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50 years initiation every 3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54.90</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54.74</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286.23</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395.87</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-139.66</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50 years initiation every 5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34.08</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43.15</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334.15</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411.39</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-124.14</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50 years initiation every 10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19.52</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28.29</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398.96</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446.77</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-88.76</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Lifetime once at 50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12.50</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15.79</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454.86</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483.15</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-52.38</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55 years initiation every 1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101.23</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54.70</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294.44</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450.37</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-85.16</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55 years initiation every 3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33.59</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40.48</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355.88</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429.96</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-105.57</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55 years initiation every 5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21.45</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32.70</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387.61</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441.75</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-93.78</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55 years initiation every 10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14.46</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25.88</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418.40</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458.74</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-76.79</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Lifetime once at 55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9.43</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16.14</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456.61</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482.18</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-53.35</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60 years initiation every 1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55.90</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37.93</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376.49</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470.32</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-65.21</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60 years initiation every 3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17.26</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25.96</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425.31</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468.52</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-67.00</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60 years initiation every 5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11.93</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21.77</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441.99</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475.70</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-59.83</w:t>
            </w:r>
          </w:p>
        </w:tc>
      </w:tr>
      <w:tr w:rsidR="00FD5F73" w:rsidRPr="00D5176D" w:rsidTr="00FD5F73">
        <w:trPr>
          <w:trHeight w:hRule="exact" w:val="340"/>
        </w:trPr>
        <w:tc>
          <w:tcPr>
            <w:tcW w:w="1844" w:type="dxa"/>
            <w:tcMar>
              <w:top w:w="0" w:type="dxa"/>
              <w:left w:w="0" w:type="dxa"/>
              <w:bottom w:w="0"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60 years initiation every 10 years</w:t>
            </w:r>
          </w:p>
        </w:tc>
        <w:tc>
          <w:tcPr>
            <w:tcW w:w="1034"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6.95</w:t>
            </w:r>
          </w:p>
        </w:tc>
        <w:tc>
          <w:tcPr>
            <w:tcW w:w="1987"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14.32</w:t>
            </w:r>
          </w:p>
        </w:tc>
        <w:tc>
          <w:tcPr>
            <w:tcW w:w="1405"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470.79</w:t>
            </w:r>
          </w:p>
        </w:tc>
        <w:tc>
          <w:tcPr>
            <w:tcW w:w="830"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492.07</w:t>
            </w:r>
          </w:p>
        </w:tc>
        <w:tc>
          <w:tcPr>
            <w:tcW w:w="1212" w:type="dxa"/>
            <w:tcMar>
              <w:top w:w="0" w:type="dxa"/>
              <w:left w:w="0" w:type="dxa"/>
              <w:bottom w:w="0"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-43.46</w:t>
            </w:r>
          </w:p>
        </w:tc>
      </w:tr>
      <w:tr w:rsidR="00FD5F73" w:rsidRPr="00D5176D" w:rsidTr="00FD5F73">
        <w:trPr>
          <w:trHeight w:hRule="exact" w:val="340"/>
        </w:trPr>
        <w:tc>
          <w:tcPr>
            <w:tcW w:w="1844" w:type="dxa"/>
            <w:tcBorders>
              <w:bottom w:val="single" w:sz="6" w:space="0" w:color="000000"/>
            </w:tcBorders>
            <w:tcMar>
              <w:top w:w="0" w:type="dxa"/>
              <w:left w:w="0" w:type="dxa"/>
              <w:bottom w:w="28" w:type="dxa"/>
              <w:right w:w="0" w:type="dxa"/>
            </w:tcMar>
            <w:vAlign w:val="center"/>
          </w:tcPr>
          <w:p w:rsidR="00FD5F73" w:rsidRPr="00D5176D" w:rsidRDefault="00FD5F73" w:rsidP="00FD5F73">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Lifetime once at 60 years</w:t>
            </w:r>
          </w:p>
        </w:tc>
        <w:tc>
          <w:tcPr>
            <w:tcW w:w="1034" w:type="dxa"/>
            <w:tcBorders>
              <w:bottom w:val="single" w:sz="6" w:space="0" w:color="000000"/>
            </w:tcBorders>
            <w:tcMar>
              <w:top w:w="0" w:type="dxa"/>
              <w:left w:w="0" w:type="dxa"/>
              <w:bottom w:w="28"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6.95</w:t>
            </w:r>
          </w:p>
        </w:tc>
        <w:tc>
          <w:tcPr>
            <w:tcW w:w="1987" w:type="dxa"/>
            <w:tcBorders>
              <w:bottom w:val="single" w:sz="6" w:space="0" w:color="000000"/>
            </w:tcBorders>
            <w:tcMar>
              <w:top w:w="0" w:type="dxa"/>
              <w:left w:w="0" w:type="dxa"/>
              <w:bottom w:w="28"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14.32</w:t>
            </w:r>
          </w:p>
        </w:tc>
        <w:tc>
          <w:tcPr>
            <w:tcW w:w="1405" w:type="dxa"/>
            <w:tcBorders>
              <w:bottom w:val="single" w:sz="6" w:space="0" w:color="000000"/>
            </w:tcBorders>
            <w:tcMar>
              <w:top w:w="0" w:type="dxa"/>
              <w:left w:w="0" w:type="dxa"/>
              <w:bottom w:w="28"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470.79</w:t>
            </w:r>
          </w:p>
        </w:tc>
        <w:tc>
          <w:tcPr>
            <w:tcW w:w="830" w:type="dxa"/>
            <w:tcBorders>
              <w:bottom w:val="single" w:sz="6" w:space="0" w:color="000000"/>
            </w:tcBorders>
            <w:tcMar>
              <w:top w:w="0" w:type="dxa"/>
              <w:left w:w="0" w:type="dxa"/>
              <w:bottom w:w="28"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492.07</w:t>
            </w:r>
          </w:p>
        </w:tc>
        <w:tc>
          <w:tcPr>
            <w:tcW w:w="1212" w:type="dxa"/>
            <w:tcBorders>
              <w:bottom w:val="single" w:sz="6" w:space="0" w:color="000000"/>
            </w:tcBorders>
            <w:tcMar>
              <w:top w:w="0" w:type="dxa"/>
              <w:left w:w="0" w:type="dxa"/>
              <w:bottom w:w="28" w:type="dxa"/>
              <w:right w:w="0" w:type="dxa"/>
            </w:tcMar>
          </w:tcPr>
          <w:p w:rsidR="00FD5F73" w:rsidRPr="00D5176D" w:rsidRDefault="00FD5F73" w:rsidP="00FD5F73">
            <w:pPr>
              <w:jc w:val="center"/>
              <w:rPr>
                <w:rFonts w:ascii="Times New Roman" w:eastAsia="宋体" w:hAnsi="Times New Roman" w:cs="Times New Roman"/>
                <w:color w:val="000000"/>
                <w:kern w:val="0"/>
                <w:sz w:val="14"/>
                <w:szCs w:val="14"/>
              </w:rPr>
            </w:pPr>
            <w:r w:rsidRPr="00D5176D">
              <w:rPr>
                <w:rFonts w:ascii="Times New Roman" w:eastAsia="宋体" w:hAnsi="Times New Roman" w:cs="Times New Roman"/>
                <w:color w:val="000000"/>
                <w:kern w:val="0"/>
                <w:sz w:val="14"/>
                <w:szCs w:val="14"/>
              </w:rPr>
              <w:t>-43.46</w:t>
            </w:r>
          </w:p>
        </w:tc>
      </w:tr>
      <w:tr w:rsidR="00303CD5" w:rsidRPr="00D5176D" w:rsidTr="00FD5F73">
        <w:trPr>
          <w:trHeight w:hRule="exact" w:val="340"/>
        </w:trPr>
        <w:tc>
          <w:tcPr>
            <w:tcW w:w="8312" w:type="dxa"/>
            <w:gridSpan w:val="6"/>
            <w:tcMar>
              <w:top w:w="0" w:type="dxa"/>
              <w:left w:w="0" w:type="dxa"/>
              <w:bottom w:w="0" w:type="dxa"/>
              <w:right w:w="0" w:type="dxa"/>
            </w:tcMar>
            <w:vAlign w:val="center"/>
          </w:tcPr>
          <w:p w:rsidR="00303CD5" w:rsidRPr="00D5176D" w:rsidRDefault="00303CD5" w:rsidP="0022400F">
            <w:pPr>
              <w:pStyle w:val="Standard"/>
              <w:widowControl/>
              <w:spacing w:line="276" w:lineRule="auto"/>
              <w:jc w:val="left"/>
              <w:rPr>
                <w:rFonts w:ascii="Times New Roman" w:hAnsi="Times New Roman" w:cs="Times New Roman"/>
                <w:color w:val="000000"/>
                <w:kern w:val="0"/>
                <w:sz w:val="14"/>
                <w:szCs w:val="14"/>
              </w:rPr>
            </w:pPr>
            <w:r w:rsidRPr="00D5176D">
              <w:rPr>
                <w:rFonts w:ascii="Times New Roman" w:hAnsi="Times New Roman" w:cs="Times New Roman"/>
                <w:color w:val="000000"/>
                <w:kern w:val="0"/>
                <w:sz w:val="14"/>
                <w:szCs w:val="14"/>
              </w:rPr>
              <w:t>* Compared with no screening.</w:t>
            </w:r>
          </w:p>
        </w:tc>
      </w:tr>
    </w:tbl>
    <w:p w:rsidR="003D4787" w:rsidRPr="00D5176D" w:rsidRDefault="003D4787" w:rsidP="00303CD5">
      <w:pPr>
        <w:pStyle w:val="Standard"/>
        <w:widowControl/>
        <w:spacing w:before="280"/>
        <w:jc w:val="left"/>
        <w:rPr>
          <w:rFonts w:ascii="Times New Roman" w:hAnsi="Times New Roman" w:cs="Times New Roman"/>
        </w:rPr>
      </w:pPr>
    </w:p>
    <w:sectPr w:rsidR="003D4787" w:rsidRPr="00D5176D" w:rsidSect="00F964C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6D9" w:rsidRDefault="004A66D9" w:rsidP="00D85D3C">
      <w:r>
        <w:separator/>
      </w:r>
    </w:p>
  </w:endnote>
  <w:endnote w:type="continuationSeparator" w:id="0">
    <w:p w:rsidR="004A66D9" w:rsidRDefault="004A66D9" w:rsidP="00D8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6D9" w:rsidRDefault="004A66D9" w:rsidP="00D85D3C">
      <w:r>
        <w:separator/>
      </w:r>
    </w:p>
  </w:footnote>
  <w:footnote w:type="continuationSeparator" w:id="0">
    <w:p w:rsidR="004A66D9" w:rsidRDefault="004A66D9" w:rsidP="00D8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NTOxtDA3NTC0sDBQ0lEKTi0uzszPAykwrgUAdcg2YCwAAAA="/>
  </w:docVars>
  <w:rsids>
    <w:rsidRoot w:val="0069639C"/>
    <w:rsid w:val="0004112B"/>
    <w:rsid w:val="002D0968"/>
    <w:rsid w:val="00303CD5"/>
    <w:rsid w:val="003D4787"/>
    <w:rsid w:val="004A66D9"/>
    <w:rsid w:val="0058022E"/>
    <w:rsid w:val="00665DF7"/>
    <w:rsid w:val="0069639C"/>
    <w:rsid w:val="00921D60"/>
    <w:rsid w:val="00AA3276"/>
    <w:rsid w:val="00D5176D"/>
    <w:rsid w:val="00D85D3C"/>
    <w:rsid w:val="00DC6D38"/>
    <w:rsid w:val="00F17AEC"/>
    <w:rsid w:val="00F964C7"/>
    <w:rsid w:val="00FD5F73"/>
  </w:rsids>
  <m:mathPr>
    <m:mathFont m:val="DejaVu Math TeX Gyre"/>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02297"/>
  <w15:chartTrackingRefBased/>
  <w15:docId w15:val="{E01A342E-B513-40B4-BFB2-AC80675D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787"/>
    <w:pPr>
      <w:widowControl/>
      <w:spacing w:before="100" w:beforeAutospacing="1" w:after="142" w:line="276" w:lineRule="auto"/>
    </w:pPr>
    <w:rPr>
      <w:rFonts w:ascii="宋体" w:eastAsia="宋体" w:hAnsi="宋体" w:cs="宋体"/>
      <w:kern w:val="0"/>
      <w:sz w:val="24"/>
      <w:szCs w:val="24"/>
    </w:rPr>
  </w:style>
  <w:style w:type="paragraph" w:customStyle="1" w:styleId="Standard">
    <w:name w:val="Standard"/>
    <w:rsid w:val="00303CD5"/>
    <w:pPr>
      <w:widowControl w:val="0"/>
      <w:suppressAutoHyphens/>
      <w:autoSpaceDN w:val="0"/>
      <w:jc w:val="both"/>
      <w:textAlignment w:val="baseline"/>
    </w:pPr>
    <w:rPr>
      <w:rFonts w:ascii="Calibri" w:eastAsia="宋体" w:hAnsi="Calibri" w:cs="Tahoma"/>
      <w:kern w:val="3"/>
    </w:rPr>
  </w:style>
  <w:style w:type="paragraph" w:styleId="a4">
    <w:name w:val="header"/>
    <w:basedOn w:val="a"/>
    <w:link w:val="a5"/>
    <w:uiPriority w:val="99"/>
    <w:unhideWhenUsed/>
    <w:rsid w:val="00D85D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85D3C"/>
    <w:rPr>
      <w:sz w:val="18"/>
      <w:szCs w:val="18"/>
    </w:rPr>
  </w:style>
  <w:style w:type="paragraph" w:styleId="a6">
    <w:name w:val="footer"/>
    <w:basedOn w:val="a"/>
    <w:link w:val="a7"/>
    <w:uiPriority w:val="99"/>
    <w:unhideWhenUsed/>
    <w:rsid w:val="00D85D3C"/>
    <w:pPr>
      <w:tabs>
        <w:tab w:val="center" w:pos="4153"/>
        <w:tab w:val="right" w:pos="8306"/>
      </w:tabs>
      <w:snapToGrid w:val="0"/>
      <w:jc w:val="left"/>
    </w:pPr>
    <w:rPr>
      <w:sz w:val="18"/>
      <w:szCs w:val="18"/>
    </w:rPr>
  </w:style>
  <w:style w:type="character" w:customStyle="1" w:styleId="a7">
    <w:name w:val="页脚 字符"/>
    <w:basedOn w:val="a0"/>
    <w:link w:val="a6"/>
    <w:uiPriority w:val="99"/>
    <w:rsid w:val="00D85D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jerry</dc:creator>
  <cp:keywords/>
  <dc:description/>
  <cp:lastModifiedBy>wu jerry</cp:lastModifiedBy>
  <cp:revision>11</cp:revision>
  <dcterms:created xsi:type="dcterms:W3CDTF">2019-12-23T06:34:00Z</dcterms:created>
  <dcterms:modified xsi:type="dcterms:W3CDTF">2020-02-28T14:33:00Z</dcterms:modified>
</cp:coreProperties>
</file>