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B0" w:rsidRPr="00C47934" w:rsidRDefault="006F41B0" w:rsidP="006F41B0">
      <w:pPr>
        <w:spacing w:line="360" w:lineRule="auto"/>
        <w:jc w:val="both"/>
        <w:rPr>
          <w:rFonts w:ascii="Arial" w:hAnsi="Arial" w:cs="Arial"/>
        </w:rPr>
      </w:pPr>
      <w:r w:rsidRPr="00C47934">
        <w:rPr>
          <w:rFonts w:ascii="Arial" w:hAnsi="Arial" w:cs="Arial"/>
          <w:b/>
          <w:bCs/>
        </w:rPr>
        <w:t>Supplementary Figure S1</w:t>
      </w:r>
      <w:r w:rsidRPr="00C47934">
        <w:rPr>
          <w:rFonts w:ascii="Arial" w:hAnsi="Arial" w:cs="Arial"/>
          <w:bCs/>
        </w:rPr>
        <w:t xml:space="preserve"> </w:t>
      </w:r>
      <w:r w:rsidRPr="00C47934">
        <w:rPr>
          <w:rFonts w:ascii="Arial" w:hAnsi="Arial" w:cs="Arial"/>
        </w:rPr>
        <w:t>SFN modulate</w:t>
      </w:r>
      <w:r>
        <w:rPr>
          <w:rFonts w:ascii="Arial" w:hAnsi="Arial" w:cs="Arial"/>
        </w:rPr>
        <w:t>s</w:t>
      </w:r>
      <w:r w:rsidRPr="00C47934">
        <w:rPr>
          <w:rFonts w:ascii="Arial" w:hAnsi="Arial" w:cs="Arial"/>
        </w:rPr>
        <w:t xml:space="preserve"> CR1 promoter luciferase activity in MDA-MB-231-Luc-D3H1 cells. Dual luciferase assay of transiently transfected MDA-MB-231-Luc-D3H1 cells with human CR1</w:t>
      </w:r>
      <w:r w:rsidRPr="00C47934">
        <w:rPr>
          <w:rFonts w:ascii="Arial" w:hAnsi="Arial" w:cs="Arial"/>
          <w:i/>
        </w:rPr>
        <w:t xml:space="preserve"> </w:t>
      </w:r>
      <w:r w:rsidRPr="00C47934">
        <w:rPr>
          <w:rFonts w:ascii="Arial" w:hAnsi="Arial" w:cs="Arial"/>
        </w:rPr>
        <w:t xml:space="preserve">promoter luciferase reporter vector. Cells were treated with 7.5 µM of SFN or saline in serum-free media at 37 </w:t>
      </w:r>
      <w:proofErr w:type="spellStart"/>
      <w:r w:rsidRPr="00C47934">
        <w:rPr>
          <w:rFonts w:ascii="Arial" w:hAnsi="Arial" w:cs="Arial"/>
          <w:vertAlign w:val="superscript"/>
        </w:rPr>
        <w:t>o</w:t>
      </w:r>
      <w:r w:rsidRPr="00C47934">
        <w:rPr>
          <w:rFonts w:ascii="Arial" w:hAnsi="Arial" w:cs="Arial"/>
        </w:rPr>
        <w:t>C</w:t>
      </w:r>
      <w:proofErr w:type="spellEnd"/>
      <w:r w:rsidRPr="00C47934">
        <w:rPr>
          <w:rFonts w:ascii="Arial" w:hAnsi="Arial" w:cs="Arial"/>
        </w:rPr>
        <w:t xml:space="preserve"> for 48h. The results are the mean ± SD from three independent experiments with triplicate samples. * P &lt; 0.0001, as compared to CR1 promoter with saline. SFN: Sulforaphane.</w:t>
      </w:r>
    </w:p>
    <w:p w:rsidR="00B319AC" w:rsidRDefault="00B319AC">
      <w:bookmarkStart w:id="0" w:name="_GoBack"/>
      <w:bookmarkEnd w:id="0"/>
    </w:p>
    <w:sectPr w:rsidR="00B3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B0"/>
    <w:rsid w:val="006F41B0"/>
    <w:rsid w:val="00B319AC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E874-93F8-422D-A389-E310C871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1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Young (NIH/NCI) [E]</dc:creator>
  <cp:keywords/>
  <dc:description/>
  <cp:lastModifiedBy>Kim, Young (NIH/NCI) [E]</cp:lastModifiedBy>
  <cp:revision>1</cp:revision>
  <dcterms:created xsi:type="dcterms:W3CDTF">2019-01-09T16:43:00Z</dcterms:created>
  <dcterms:modified xsi:type="dcterms:W3CDTF">2019-01-09T16:45:00Z</dcterms:modified>
</cp:coreProperties>
</file>