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DC" w:rsidRPr="00161939" w:rsidRDefault="005449DC" w:rsidP="005449D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Supplementary Table 2</w:t>
      </w:r>
      <w:r w:rsidRPr="00161939">
        <w:rPr>
          <w:rFonts w:ascii="Times New Roman" w:hAnsi="Times New Roman" w:cs="Times New Roman"/>
          <w:b/>
        </w:rPr>
        <w:t>.</w:t>
      </w:r>
      <w:proofErr w:type="gramEnd"/>
      <w:r w:rsidRPr="00161939">
        <w:rPr>
          <w:rFonts w:ascii="Times New Roman" w:hAnsi="Times New Roman" w:cs="Times New Roman"/>
        </w:rPr>
        <w:t xml:space="preserve"> Skin </w:t>
      </w:r>
      <w:proofErr w:type="spellStart"/>
      <w:r w:rsidRPr="00161939">
        <w:rPr>
          <w:rFonts w:ascii="Times New Roman" w:hAnsi="Times New Roman" w:cs="Times New Roman"/>
        </w:rPr>
        <w:t>sulforaphane</w:t>
      </w:r>
      <w:proofErr w:type="spellEnd"/>
      <w:r w:rsidRPr="00161939">
        <w:rPr>
          <w:rFonts w:ascii="Times New Roman" w:hAnsi="Times New Roman" w:cs="Times New Roman"/>
        </w:rPr>
        <w:t xml:space="preserve"> concentration post-BSE-SFN administration by dose group and day.</w:t>
      </w:r>
    </w:p>
    <w:p w:rsidR="005449DC" w:rsidRPr="00161939" w:rsidRDefault="005449DC" w:rsidP="005449DC">
      <w:pPr>
        <w:rPr>
          <w:rFonts w:ascii="Times New Roman" w:hAnsi="Times New Roman" w:cs="Times New Roman"/>
          <w:b/>
        </w:rPr>
      </w:pPr>
    </w:p>
    <w:tbl>
      <w:tblPr>
        <w:tblStyle w:val="TableGrid"/>
        <w:tblW w:w="7578" w:type="dxa"/>
        <w:tblLayout w:type="fixed"/>
        <w:tblLook w:val="04A0" w:firstRow="1" w:lastRow="0" w:firstColumn="1" w:lastColumn="0" w:noHBand="0" w:noVBand="1"/>
      </w:tblPr>
      <w:tblGrid>
        <w:gridCol w:w="1368"/>
        <w:gridCol w:w="1170"/>
        <w:gridCol w:w="2430"/>
        <w:gridCol w:w="2610"/>
      </w:tblGrid>
      <w:tr w:rsidR="005449DC" w:rsidRPr="00161939" w:rsidTr="00282974">
        <w:trPr>
          <w:trHeight w:val="320"/>
        </w:trPr>
        <w:tc>
          <w:tcPr>
            <w:tcW w:w="1368" w:type="dxa"/>
            <w:noWrap/>
            <w:hideMark/>
          </w:tcPr>
          <w:p w:rsidR="005449DC" w:rsidRPr="00161939" w:rsidRDefault="005449DC" w:rsidP="00282974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161939">
              <w:rPr>
                <w:rFonts w:ascii="Arial" w:eastAsia="Times New Roman" w:hAnsi="Arial"/>
                <w:b/>
                <w:bCs/>
                <w:color w:val="000000"/>
              </w:rPr>
              <w:t>Study Arm</w:t>
            </w:r>
          </w:p>
        </w:tc>
        <w:tc>
          <w:tcPr>
            <w:tcW w:w="1170" w:type="dxa"/>
            <w:noWrap/>
            <w:hideMark/>
          </w:tcPr>
          <w:p w:rsidR="005449DC" w:rsidRPr="00161939" w:rsidRDefault="005449DC" w:rsidP="00282974">
            <w:pPr>
              <w:ind w:hanging="108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161939">
              <w:rPr>
                <w:rFonts w:ascii="Arial" w:eastAsia="Times New Roman" w:hAnsi="Arial"/>
                <w:b/>
                <w:bCs/>
                <w:color w:val="000000"/>
              </w:rPr>
              <w:t>Day</w:t>
            </w:r>
          </w:p>
        </w:tc>
        <w:tc>
          <w:tcPr>
            <w:tcW w:w="2430" w:type="dxa"/>
            <w:noWrap/>
            <w:hideMark/>
          </w:tcPr>
          <w:p w:rsidR="005449DC" w:rsidRPr="00161939" w:rsidRDefault="005449DC" w:rsidP="00282974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161939">
              <w:rPr>
                <w:rFonts w:ascii="Arial" w:eastAsia="Times New Roman" w:hAnsi="Arial"/>
                <w:b/>
                <w:bCs/>
                <w:color w:val="000000"/>
              </w:rPr>
              <w:t xml:space="preserve">Median </w:t>
            </w:r>
            <w:proofErr w:type="spellStart"/>
            <w:r w:rsidRPr="00161939">
              <w:rPr>
                <w:rFonts w:ascii="Arial" w:eastAsia="Times New Roman" w:hAnsi="Arial"/>
                <w:b/>
                <w:bCs/>
                <w:color w:val="000000"/>
              </w:rPr>
              <w:t>Sulforaphane</w:t>
            </w:r>
            <w:proofErr w:type="spellEnd"/>
            <w:r w:rsidRPr="00161939">
              <w:rPr>
                <w:rFonts w:ascii="Arial" w:eastAsia="Times New Roman" w:hAnsi="Arial"/>
                <w:b/>
                <w:bCs/>
                <w:color w:val="000000"/>
              </w:rPr>
              <w:t xml:space="preserve"> Concentration (</w:t>
            </w:r>
            <w:proofErr w:type="spellStart"/>
            <w:r w:rsidRPr="00161939">
              <w:rPr>
                <w:rFonts w:ascii="Arial" w:eastAsia="Times New Roman" w:hAnsi="Arial"/>
                <w:b/>
                <w:bCs/>
                <w:color w:val="000000"/>
              </w:rPr>
              <w:t>ng</w:t>
            </w:r>
            <w:proofErr w:type="spellEnd"/>
            <w:r w:rsidRPr="00161939">
              <w:rPr>
                <w:rFonts w:ascii="Arial" w:eastAsia="Times New Roman" w:hAnsi="Arial"/>
                <w:b/>
                <w:bCs/>
                <w:color w:val="000000"/>
              </w:rPr>
              <w:t>/g)</w:t>
            </w:r>
          </w:p>
        </w:tc>
        <w:tc>
          <w:tcPr>
            <w:tcW w:w="2610" w:type="dxa"/>
            <w:noWrap/>
            <w:hideMark/>
          </w:tcPr>
          <w:p w:rsidR="005449DC" w:rsidRPr="00161939" w:rsidRDefault="005449DC" w:rsidP="00282974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proofErr w:type="spellStart"/>
            <w:r w:rsidRPr="00161939">
              <w:rPr>
                <w:rFonts w:ascii="Arial" w:eastAsia="Times New Roman" w:hAnsi="Arial"/>
                <w:b/>
                <w:bCs/>
                <w:color w:val="000000"/>
              </w:rPr>
              <w:t>Sulforaphane</w:t>
            </w:r>
            <w:proofErr w:type="spellEnd"/>
            <w:r w:rsidRPr="00161939">
              <w:rPr>
                <w:rFonts w:ascii="Arial" w:eastAsia="Times New Roman" w:hAnsi="Arial"/>
                <w:b/>
                <w:bCs/>
                <w:color w:val="000000"/>
              </w:rPr>
              <w:t xml:space="preserve"> Concentration Range (</w:t>
            </w:r>
            <w:proofErr w:type="spellStart"/>
            <w:r w:rsidRPr="00161939">
              <w:rPr>
                <w:rFonts w:ascii="Arial" w:eastAsia="Times New Roman" w:hAnsi="Arial"/>
                <w:b/>
                <w:bCs/>
                <w:color w:val="000000"/>
              </w:rPr>
              <w:t>ng</w:t>
            </w:r>
            <w:proofErr w:type="spellEnd"/>
            <w:r w:rsidRPr="00161939">
              <w:rPr>
                <w:rFonts w:ascii="Arial" w:eastAsia="Times New Roman" w:hAnsi="Arial"/>
                <w:b/>
                <w:bCs/>
                <w:color w:val="000000"/>
              </w:rPr>
              <w:t>/g)</w:t>
            </w:r>
          </w:p>
        </w:tc>
      </w:tr>
      <w:tr w:rsidR="005449DC" w:rsidRPr="00161939" w:rsidTr="00282974">
        <w:trPr>
          <w:trHeight w:val="320"/>
        </w:trPr>
        <w:tc>
          <w:tcPr>
            <w:tcW w:w="1368" w:type="dxa"/>
            <w:vMerge w:val="restart"/>
            <w:noWrap/>
            <w:hideMark/>
          </w:tcPr>
          <w:p w:rsidR="005449DC" w:rsidRPr="00161939" w:rsidRDefault="005449DC" w:rsidP="0028297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61939">
              <w:rPr>
                <w:rFonts w:ascii="Arial" w:eastAsia="Times New Roman" w:hAnsi="Arial"/>
                <w:color w:val="000000"/>
              </w:rPr>
              <w:t>50 µ</w:t>
            </w:r>
            <w:proofErr w:type="spellStart"/>
            <w:r w:rsidRPr="00161939">
              <w:rPr>
                <w:rFonts w:ascii="Arial" w:eastAsia="Times New Roman" w:hAnsi="Arial"/>
                <w:color w:val="000000"/>
              </w:rPr>
              <w:t>mol</w:t>
            </w:r>
            <w:proofErr w:type="spellEnd"/>
          </w:p>
          <w:p w:rsidR="005449DC" w:rsidRPr="00161939" w:rsidRDefault="005449DC" w:rsidP="0028297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61939">
              <w:rPr>
                <w:rFonts w:ascii="Arial" w:eastAsia="Times New Roman" w:hAnsi="Arial"/>
                <w:color w:val="000000"/>
              </w:rPr>
              <w:t>(</w:t>
            </w:r>
            <w:proofErr w:type="gramStart"/>
            <w:r w:rsidRPr="00161939">
              <w:rPr>
                <w:rFonts w:ascii="Arial" w:eastAsia="Times New Roman" w:hAnsi="Arial"/>
                <w:color w:val="000000"/>
              </w:rPr>
              <w:t>n</w:t>
            </w:r>
            <w:proofErr w:type="gramEnd"/>
            <w:r w:rsidRPr="00161939">
              <w:rPr>
                <w:rFonts w:ascii="Arial" w:eastAsia="Times New Roman" w:hAnsi="Arial"/>
                <w:color w:val="000000"/>
              </w:rPr>
              <w:t>=6)</w:t>
            </w:r>
          </w:p>
        </w:tc>
        <w:tc>
          <w:tcPr>
            <w:tcW w:w="1170" w:type="dxa"/>
            <w:noWrap/>
            <w:hideMark/>
          </w:tcPr>
          <w:p w:rsidR="005449DC" w:rsidRPr="00161939" w:rsidRDefault="005449DC" w:rsidP="00282974">
            <w:pPr>
              <w:ind w:hanging="108"/>
              <w:jc w:val="center"/>
              <w:rPr>
                <w:rFonts w:ascii="Arial" w:eastAsia="Times New Roman" w:hAnsi="Arial"/>
                <w:color w:val="000000"/>
              </w:rPr>
            </w:pPr>
            <w:r w:rsidRPr="00161939">
              <w:rPr>
                <w:rFonts w:ascii="Arial" w:eastAsia="Times New Roman" w:hAnsi="Arial"/>
                <w:color w:val="000000"/>
              </w:rPr>
              <w:t>Day 1</w:t>
            </w:r>
          </w:p>
        </w:tc>
        <w:tc>
          <w:tcPr>
            <w:tcW w:w="2430" w:type="dxa"/>
            <w:noWrap/>
            <w:hideMark/>
          </w:tcPr>
          <w:p w:rsidR="005449DC" w:rsidRPr="00161939" w:rsidRDefault="005449DC" w:rsidP="0028297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61939">
              <w:rPr>
                <w:rFonts w:ascii="Arial" w:eastAsia="Times New Roman" w:hAnsi="Arial"/>
                <w:color w:val="000000"/>
              </w:rPr>
              <w:t>0.0</w:t>
            </w:r>
          </w:p>
        </w:tc>
        <w:tc>
          <w:tcPr>
            <w:tcW w:w="2610" w:type="dxa"/>
            <w:noWrap/>
            <w:hideMark/>
          </w:tcPr>
          <w:p w:rsidR="005449DC" w:rsidRPr="00161939" w:rsidRDefault="005449DC" w:rsidP="0028297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61939">
              <w:rPr>
                <w:rFonts w:ascii="Arial" w:eastAsia="Times New Roman" w:hAnsi="Arial"/>
                <w:color w:val="000000"/>
              </w:rPr>
              <w:t>(0.0–8.2)</w:t>
            </w:r>
          </w:p>
        </w:tc>
      </w:tr>
      <w:tr w:rsidR="005449DC" w:rsidRPr="00161939" w:rsidTr="00282974">
        <w:trPr>
          <w:trHeight w:val="320"/>
        </w:trPr>
        <w:tc>
          <w:tcPr>
            <w:tcW w:w="1368" w:type="dxa"/>
            <w:vMerge/>
            <w:noWrap/>
            <w:hideMark/>
          </w:tcPr>
          <w:p w:rsidR="005449DC" w:rsidRPr="00161939" w:rsidRDefault="005449DC" w:rsidP="00282974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70" w:type="dxa"/>
            <w:noWrap/>
            <w:hideMark/>
          </w:tcPr>
          <w:p w:rsidR="005449DC" w:rsidRPr="00161939" w:rsidRDefault="005449DC" w:rsidP="00282974">
            <w:pPr>
              <w:ind w:hanging="108"/>
              <w:jc w:val="center"/>
              <w:rPr>
                <w:rFonts w:ascii="Arial" w:eastAsia="Times New Roman" w:hAnsi="Arial"/>
                <w:color w:val="000000"/>
              </w:rPr>
            </w:pPr>
            <w:r w:rsidRPr="00161939">
              <w:rPr>
                <w:rFonts w:ascii="Arial" w:eastAsia="Times New Roman" w:hAnsi="Arial"/>
                <w:color w:val="000000"/>
              </w:rPr>
              <w:t>Day 2</w:t>
            </w:r>
          </w:p>
        </w:tc>
        <w:tc>
          <w:tcPr>
            <w:tcW w:w="2430" w:type="dxa"/>
            <w:noWrap/>
            <w:hideMark/>
          </w:tcPr>
          <w:p w:rsidR="005449DC" w:rsidRPr="00161939" w:rsidRDefault="005449DC" w:rsidP="0028297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61939">
              <w:rPr>
                <w:rFonts w:ascii="Arial" w:eastAsia="Times New Roman" w:hAnsi="Arial"/>
                <w:color w:val="000000"/>
              </w:rPr>
              <w:t>4.1</w:t>
            </w:r>
          </w:p>
        </w:tc>
        <w:tc>
          <w:tcPr>
            <w:tcW w:w="2610" w:type="dxa"/>
            <w:noWrap/>
            <w:hideMark/>
          </w:tcPr>
          <w:p w:rsidR="005449DC" w:rsidRPr="00161939" w:rsidRDefault="005449DC" w:rsidP="0028297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61939">
              <w:rPr>
                <w:rFonts w:ascii="Arial" w:eastAsia="Times New Roman" w:hAnsi="Arial"/>
                <w:color w:val="000000"/>
              </w:rPr>
              <w:t>(0.0–15.2)</w:t>
            </w:r>
          </w:p>
        </w:tc>
      </w:tr>
      <w:tr w:rsidR="005449DC" w:rsidRPr="00161939" w:rsidTr="00282974">
        <w:trPr>
          <w:trHeight w:val="320"/>
        </w:trPr>
        <w:tc>
          <w:tcPr>
            <w:tcW w:w="1368" w:type="dxa"/>
            <w:vMerge/>
            <w:noWrap/>
            <w:hideMark/>
          </w:tcPr>
          <w:p w:rsidR="005449DC" w:rsidRPr="00161939" w:rsidRDefault="005449DC" w:rsidP="00282974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70" w:type="dxa"/>
            <w:noWrap/>
            <w:hideMark/>
          </w:tcPr>
          <w:p w:rsidR="005449DC" w:rsidRPr="00161939" w:rsidRDefault="005449DC" w:rsidP="00282974">
            <w:pPr>
              <w:ind w:hanging="108"/>
              <w:jc w:val="center"/>
              <w:rPr>
                <w:rFonts w:ascii="Arial" w:eastAsia="Times New Roman" w:hAnsi="Arial"/>
                <w:color w:val="000000"/>
              </w:rPr>
            </w:pPr>
            <w:r w:rsidRPr="00161939">
              <w:rPr>
                <w:rFonts w:ascii="Arial" w:eastAsia="Times New Roman" w:hAnsi="Arial"/>
                <w:color w:val="000000"/>
              </w:rPr>
              <w:t>Day 28</w:t>
            </w:r>
          </w:p>
        </w:tc>
        <w:tc>
          <w:tcPr>
            <w:tcW w:w="2430" w:type="dxa"/>
            <w:noWrap/>
            <w:hideMark/>
          </w:tcPr>
          <w:p w:rsidR="005449DC" w:rsidRPr="00161939" w:rsidRDefault="005449DC" w:rsidP="0028297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61939">
              <w:rPr>
                <w:rFonts w:ascii="Arial" w:eastAsia="Times New Roman" w:hAnsi="Arial"/>
                <w:color w:val="000000"/>
              </w:rPr>
              <w:t>0.0</w:t>
            </w:r>
          </w:p>
        </w:tc>
        <w:tc>
          <w:tcPr>
            <w:tcW w:w="2610" w:type="dxa"/>
            <w:noWrap/>
            <w:hideMark/>
          </w:tcPr>
          <w:p w:rsidR="005449DC" w:rsidRPr="00161939" w:rsidRDefault="005449DC" w:rsidP="0028297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61939">
              <w:rPr>
                <w:rFonts w:ascii="Arial" w:eastAsia="Times New Roman" w:hAnsi="Arial"/>
                <w:color w:val="000000"/>
              </w:rPr>
              <w:t>(0.0–21.8)</w:t>
            </w:r>
          </w:p>
        </w:tc>
      </w:tr>
      <w:tr w:rsidR="005449DC" w:rsidRPr="00161939" w:rsidTr="00282974">
        <w:trPr>
          <w:trHeight w:val="320"/>
        </w:trPr>
        <w:tc>
          <w:tcPr>
            <w:tcW w:w="1368" w:type="dxa"/>
            <w:vMerge w:val="restart"/>
            <w:noWrap/>
            <w:hideMark/>
          </w:tcPr>
          <w:p w:rsidR="005449DC" w:rsidRPr="00161939" w:rsidRDefault="005449DC" w:rsidP="0028297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61939">
              <w:rPr>
                <w:rFonts w:ascii="Arial" w:eastAsia="Times New Roman" w:hAnsi="Arial"/>
                <w:color w:val="000000"/>
              </w:rPr>
              <w:t>100 µ</w:t>
            </w:r>
            <w:proofErr w:type="spellStart"/>
            <w:r w:rsidRPr="00161939">
              <w:rPr>
                <w:rFonts w:ascii="Arial" w:eastAsia="Times New Roman" w:hAnsi="Arial"/>
                <w:color w:val="000000"/>
              </w:rPr>
              <w:t>mol</w:t>
            </w:r>
            <w:proofErr w:type="spellEnd"/>
          </w:p>
          <w:p w:rsidR="005449DC" w:rsidRPr="00161939" w:rsidRDefault="005449DC" w:rsidP="0028297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61939">
              <w:rPr>
                <w:rFonts w:ascii="Arial" w:eastAsia="Times New Roman" w:hAnsi="Arial"/>
                <w:color w:val="000000"/>
              </w:rPr>
              <w:t>(</w:t>
            </w:r>
            <w:proofErr w:type="gramStart"/>
            <w:r w:rsidRPr="00161939">
              <w:rPr>
                <w:rFonts w:ascii="Arial" w:eastAsia="Times New Roman" w:hAnsi="Arial"/>
                <w:color w:val="000000"/>
              </w:rPr>
              <w:t>n</w:t>
            </w:r>
            <w:proofErr w:type="gramEnd"/>
            <w:r w:rsidRPr="00161939">
              <w:rPr>
                <w:rFonts w:ascii="Arial" w:eastAsia="Times New Roman" w:hAnsi="Arial"/>
                <w:color w:val="000000"/>
              </w:rPr>
              <w:t>=6)</w:t>
            </w:r>
          </w:p>
        </w:tc>
        <w:tc>
          <w:tcPr>
            <w:tcW w:w="1170" w:type="dxa"/>
            <w:noWrap/>
            <w:hideMark/>
          </w:tcPr>
          <w:p w:rsidR="005449DC" w:rsidRPr="00161939" w:rsidRDefault="005449DC" w:rsidP="00282974">
            <w:pPr>
              <w:ind w:hanging="108"/>
              <w:jc w:val="center"/>
              <w:rPr>
                <w:rFonts w:ascii="Arial" w:eastAsia="Times New Roman" w:hAnsi="Arial"/>
                <w:color w:val="000000"/>
              </w:rPr>
            </w:pPr>
            <w:r w:rsidRPr="00161939">
              <w:rPr>
                <w:rFonts w:ascii="Arial" w:eastAsia="Times New Roman" w:hAnsi="Arial"/>
                <w:color w:val="000000"/>
              </w:rPr>
              <w:t>Day 1</w:t>
            </w:r>
          </w:p>
        </w:tc>
        <w:tc>
          <w:tcPr>
            <w:tcW w:w="2430" w:type="dxa"/>
            <w:noWrap/>
            <w:hideMark/>
          </w:tcPr>
          <w:p w:rsidR="005449DC" w:rsidRPr="00161939" w:rsidRDefault="005449DC" w:rsidP="0028297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61939">
              <w:rPr>
                <w:rFonts w:ascii="Arial" w:eastAsia="Times New Roman" w:hAnsi="Arial"/>
                <w:color w:val="000000"/>
              </w:rPr>
              <w:t>0.0</w:t>
            </w:r>
          </w:p>
        </w:tc>
        <w:tc>
          <w:tcPr>
            <w:tcW w:w="2610" w:type="dxa"/>
            <w:noWrap/>
            <w:hideMark/>
          </w:tcPr>
          <w:p w:rsidR="005449DC" w:rsidRPr="00161939" w:rsidRDefault="005449DC" w:rsidP="00282974">
            <w:pPr>
              <w:jc w:val="center"/>
              <w:rPr>
                <w:rFonts w:ascii="Arial" w:eastAsia="Times New Roman" w:hAnsi="Arial"/>
              </w:rPr>
            </w:pPr>
            <w:r w:rsidRPr="00161939">
              <w:rPr>
                <w:rFonts w:ascii="Arial" w:eastAsia="Times New Roman" w:hAnsi="Arial"/>
              </w:rPr>
              <w:t>(0.0</w:t>
            </w:r>
            <w:r w:rsidRPr="00161939">
              <w:rPr>
                <w:rFonts w:ascii="Arial" w:eastAsia="Times New Roman" w:hAnsi="Arial"/>
                <w:color w:val="000000"/>
              </w:rPr>
              <w:t>–</w:t>
            </w:r>
            <w:r w:rsidRPr="00161939">
              <w:rPr>
                <w:rFonts w:ascii="Arial" w:eastAsia="Times New Roman" w:hAnsi="Arial"/>
              </w:rPr>
              <w:t>0.0)</w:t>
            </w:r>
          </w:p>
        </w:tc>
      </w:tr>
      <w:tr w:rsidR="005449DC" w:rsidRPr="00161939" w:rsidTr="00282974">
        <w:trPr>
          <w:trHeight w:val="320"/>
        </w:trPr>
        <w:tc>
          <w:tcPr>
            <w:tcW w:w="1368" w:type="dxa"/>
            <w:vMerge/>
            <w:noWrap/>
            <w:hideMark/>
          </w:tcPr>
          <w:p w:rsidR="005449DC" w:rsidRPr="00161939" w:rsidRDefault="005449DC" w:rsidP="00282974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70" w:type="dxa"/>
            <w:noWrap/>
            <w:hideMark/>
          </w:tcPr>
          <w:p w:rsidR="005449DC" w:rsidRPr="00161939" w:rsidRDefault="005449DC" w:rsidP="00282974">
            <w:pPr>
              <w:ind w:hanging="108"/>
              <w:jc w:val="center"/>
              <w:rPr>
                <w:rFonts w:ascii="Arial" w:eastAsia="Times New Roman" w:hAnsi="Arial"/>
                <w:color w:val="000000"/>
              </w:rPr>
            </w:pPr>
            <w:r w:rsidRPr="00161939">
              <w:rPr>
                <w:rFonts w:ascii="Arial" w:eastAsia="Times New Roman" w:hAnsi="Arial"/>
                <w:color w:val="000000"/>
              </w:rPr>
              <w:t>Day 2</w:t>
            </w:r>
          </w:p>
        </w:tc>
        <w:tc>
          <w:tcPr>
            <w:tcW w:w="2430" w:type="dxa"/>
            <w:noWrap/>
            <w:hideMark/>
          </w:tcPr>
          <w:p w:rsidR="005449DC" w:rsidRPr="00161939" w:rsidRDefault="005449DC" w:rsidP="0028297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61939">
              <w:rPr>
                <w:rFonts w:ascii="Arial" w:eastAsia="Times New Roman" w:hAnsi="Arial"/>
                <w:color w:val="000000"/>
              </w:rPr>
              <w:t>0.0</w:t>
            </w:r>
          </w:p>
        </w:tc>
        <w:tc>
          <w:tcPr>
            <w:tcW w:w="2610" w:type="dxa"/>
            <w:noWrap/>
            <w:hideMark/>
          </w:tcPr>
          <w:p w:rsidR="005449DC" w:rsidRPr="00161939" w:rsidRDefault="005449DC" w:rsidP="0028297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61939">
              <w:rPr>
                <w:rFonts w:ascii="Arial" w:eastAsia="Times New Roman" w:hAnsi="Arial"/>
                <w:color w:val="000000"/>
              </w:rPr>
              <w:t>(0.0–11.8)</w:t>
            </w:r>
          </w:p>
        </w:tc>
      </w:tr>
      <w:tr w:rsidR="005449DC" w:rsidRPr="00161939" w:rsidTr="00282974">
        <w:trPr>
          <w:trHeight w:val="320"/>
        </w:trPr>
        <w:tc>
          <w:tcPr>
            <w:tcW w:w="1368" w:type="dxa"/>
            <w:vMerge/>
            <w:noWrap/>
            <w:hideMark/>
          </w:tcPr>
          <w:p w:rsidR="005449DC" w:rsidRPr="00161939" w:rsidRDefault="005449DC" w:rsidP="00282974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70" w:type="dxa"/>
            <w:noWrap/>
            <w:hideMark/>
          </w:tcPr>
          <w:p w:rsidR="005449DC" w:rsidRPr="00161939" w:rsidRDefault="005449DC" w:rsidP="00282974">
            <w:pPr>
              <w:ind w:left="-108"/>
              <w:jc w:val="center"/>
              <w:rPr>
                <w:rFonts w:ascii="Arial" w:eastAsia="Times New Roman" w:hAnsi="Arial"/>
                <w:color w:val="000000"/>
              </w:rPr>
            </w:pPr>
            <w:r w:rsidRPr="00161939">
              <w:rPr>
                <w:rFonts w:ascii="Arial" w:eastAsia="Times New Roman" w:hAnsi="Arial"/>
                <w:color w:val="000000"/>
              </w:rPr>
              <w:t>Day 28</w:t>
            </w:r>
          </w:p>
        </w:tc>
        <w:tc>
          <w:tcPr>
            <w:tcW w:w="2430" w:type="dxa"/>
            <w:noWrap/>
            <w:hideMark/>
          </w:tcPr>
          <w:p w:rsidR="005449DC" w:rsidRPr="00161939" w:rsidRDefault="005449DC" w:rsidP="0028297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61939">
              <w:rPr>
                <w:rFonts w:ascii="Arial" w:eastAsia="Times New Roman" w:hAnsi="Arial"/>
                <w:color w:val="000000"/>
              </w:rPr>
              <w:t>3.1</w:t>
            </w:r>
          </w:p>
        </w:tc>
        <w:tc>
          <w:tcPr>
            <w:tcW w:w="2610" w:type="dxa"/>
            <w:noWrap/>
            <w:hideMark/>
          </w:tcPr>
          <w:p w:rsidR="005449DC" w:rsidRPr="00161939" w:rsidRDefault="005449DC" w:rsidP="0028297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61939">
              <w:rPr>
                <w:rFonts w:ascii="Arial" w:eastAsia="Times New Roman" w:hAnsi="Arial"/>
                <w:color w:val="000000"/>
              </w:rPr>
              <w:t>(0–18.9)</w:t>
            </w:r>
          </w:p>
        </w:tc>
      </w:tr>
      <w:tr w:rsidR="005449DC" w:rsidRPr="00161939" w:rsidTr="00282974">
        <w:trPr>
          <w:trHeight w:val="320"/>
        </w:trPr>
        <w:tc>
          <w:tcPr>
            <w:tcW w:w="1368" w:type="dxa"/>
            <w:vMerge w:val="restart"/>
            <w:noWrap/>
            <w:hideMark/>
          </w:tcPr>
          <w:p w:rsidR="005449DC" w:rsidRPr="00161939" w:rsidRDefault="005449DC" w:rsidP="0028297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61939">
              <w:rPr>
                <w:rFonts w:ascii="Arial" w:eastAsia="Times New Roman" w:hAnsi="Arial"/>
                <w:color w:val="000000"/>
              </w:rPr>
              <w:t>200 µ</w:t>
            </w:r>
            <w:proofErr w:type="spellStart"/>
            <w:r w:rsidRPr="00161939">
              <w:rPr>
                <w:rFonts w:ascii="Arial" w:eastAsia="Times New Roman" w:hAnsi="Arial"/>
                <w:color w:val="000000"/>
              </w:rPr>
              <w:t>mol</w:t>
            </w:r>
            <w:proofErr w:type="spellEnd"/>
          </w:p>
          <w:p w:rsidR="005449DC" w:rsidRPr="00161939" w:rsidRDefault="005449DC" w:rsidP="0028297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61939">
              <w:rPr>
                <w:rFonts w:ascii="Arial" w:eastAsia="Times New Roman" w:hAnsi="Arial"/>
                <w:color w:val="000000"/>
              </w:rPr>
              <w:t>(</w:t>
            </w:r>
            <w:proofErr w:type="gramStart"/>
            <w:r w:rsidRPr="00161939">
              <w:rPr>
                <w:rFonts w:ascii="Arial" w:eastAsia="Times New Roman" w:hAnsi="Arial"/>
                <w:color w:val="000000"/>
              </w:rPr>
              <w:t>n</w:t>
            </w:r>
            <w:proofErr w:type="gramEnd"/>
            <w:r w:rsidRPr="00161939">
              <w:rPr>
                <w:rFonts w:ascii="Arial" w:eastAsia="Times New Roman" w:hAnsi="Arial"/>
                <w:color w:val="000000"/>
              </w:rPr>
              <w:t>=5)</w:t>
            </w:r>
          </w:p>
        </w:tc>
        <w:tc>
          <w:tcPr>
            <w:tcW w:w="1170" w:type="dxa"/>
            <w:noWrap/>
            <w:hideMark/>
          </w:tcPr>
          <w:p w:rsidR="005449DC" w:rsidRPr="00161939" w:rsidRDefault="005449DC" w:rsidP="00282974">
            <w:pPr>
              <w:ind w:hanging="108"/>
              <w:jc w:val="center"/>
              <w:rPr>
                <w:rFonts w:ascii="Arial" w:eastAsia="Times New Roman" w:hAnsi="Arial"/>
                <w:color w:val="000000"/>
              </w:rPr>
            </w:pPr>
            <w:r w:rsidRPr="00161939">
              <w:rPr>
                <w:rFonts w:ascii="Arial" w:eastAsia="Times New Roman" w:hAnsi="Arial"/>
                <w:color w:val="000000"/>
              </w:rPr>
              <w:t>Day 1</w:t>
            </w:r>
          </w:p>
        </w:tc>
        <w:tc>
          <w:tcPr>
            <w:tcW w:w="2430" w:type="dxa"/>
            <w:noWrap/>
            <w:hideMark/>
          </w:tcPr>
          <w:p w:rsidR="005449DC" w:rsidRPr="00161939" w:rsidRDefault="005449DC" w:rsidP="0028297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61939">
              <w:rPr>
                <w:rFonts w:ascii="Arial" w:eastAsia="Times New Roman" w:hAnsi="Arial"/>
                <w:color w:val="000000"/>
              </w:rPr>
              <w:t>0.0</w:t>
            </w:r>
          </w:p>
        </w:tc>
        <w:tc>
          <w:tcPr>
            <w:tcW w:w="2610" w:type="dxa"/>
            <w:noWrap/>
            <w:hideMark/>
          </w:tcPr>
          <w:p w:rsidR="005449DC" w:rsidRPr="00161939" w:rsidRDefault="005449DC" w:rsidP="00282974">
            <w:pPr>
              <w:jc w:val="center"/>
              <w:rPr>
                <w:rFonts w:ascii="Arial" w:eastAsia="Times New Roman" w:hAnsi="Arial"/>
              </w:rPr>
            </w:pPr>
            <w:r w:rsidRPr="00161939">
              <w:rPr>
                <w:rFonts w:ascii="Arial" w:eastAsia="Times New Roman" w:hAnsi="Arial"/>
              </w:rPr>
              <w:t>(0.0</w:t>
            </w:r>
            <w:r w:rsidRPr="00161939">
              <w:rPr>
                <w:rFonts w:ascii="Arial" w:eastAsia="Times New Roman" w:hAnsi="Arial"/>
                <w:color w:val="000000"/>
              </w:rPr>
              <w:t>–</w:t>
            </w:r>
            <w:r w:rsidRPr="00161939">
              <w:rPr>
                <w:rFonts w:ascii="Arial" w:eastAsia="Times New Roman" w:hAnsi="Arial"/>
              </w:rPr>
              <w:t>0.0)</w:t>
            </w:r>
          </w:p>
        </w:tc>
      </w:tr>
      <w:tr w:rsidR="005449DC" w:rsidRPr="00161939" w:rsidTr="00282974">
        <w:trPr>
          <w:trHeight w:val="320"/>
        </w:trPr>
        <w:tc>
          <w:tcPr>
            <w:tcW w:w="1368" w:type="dxa"/>
            <w:vMerge/>
            <w:noWrap/>
            <w:hideMark/>
          </w:tcPr>
          <w:p w:rsidR="005449DC" w:rsidRPr="00161939" w:rsidRDefault="005449DC" w:rsidP="00282974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70" w:type="dxa"/>
            <w:noWrap/>
            <w:hideMark/>
          </w:tcPr>
          <w:p w:rsidR="005449DC" w:rsidRPr="00161939" w:rsidRDefault="005449DC" w:rsidP="00282974">
            <w:pPr>
              <w:ind w:hanging="108"/>
              <w:jc w:val="center"/>
              <w:rPr>
                <w:rFonts w:ascii="Arial" w:eastAsia="Times New Roman" w:hAnsi="Arial"/>
                <w:color w:val="000000"/>
              </w:rPr>
            </w:pPr>
            <w:r w:rsidRPr="00161939">
              <w:rPr>
                <w:rFonts w:ascii="Arial" w:eastAsia="Times New Roman" w:hAnsi="Arial"/>
                <w:color w:val="000000"/>
              </w:rPr>
              <w:t>Day 2</w:t>
            </w:r>
          </w:p>
        </w:tc>
        <w:tc>
          <w:tcPr>
            <w:tcW w:w="2430" w:type="dxa"/>
            <w:noWrap/>
            <w:hideMark/>
          </w:tcPr>
          <w:p w:rsidR="005449DC" w:rsidRPr="00161939" w:rsidRDefault="005449DC" w:rsidP="0028297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61939">
              <w:rPr>
                <w:rFonts w:ascii="Arial" w:eastAsia="Times New Roman" w:hAnsi="Arial"/>
                <w:color w:val="000000"/>
              </w:rPr>
              <w:t>53.5</w:t>
            </w:r>
          </w:p>
        </w:tc>
        <w:tc>
          <w:tcPr>
            <w:tcW w:w="2610" w:type="dxa"/>
            <w:noWrap/>
            <w:hideMark/>
          </w:tcPr>
          <w:p w:rsidR="005449DC" w:rsidRPr="00161939" w:rsidRDefault="005449DC" w:rsidP="0028297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61939">
              <w:rPr>
                <w:rFonts w:ascii="Arial" w:eastAsia="Times New Roman" w:hAnsi="Arial"/>
                <w:color w:val="000000"/>
              </w:rPr>
              <w:t>(0.0–60.3)</w:t>
            </w:r>
          </w:p>
        </w:tc>
      </w:tr>
      <w:tr w:rsidR="005449DC" w:rsidRPr="00161939" w:rsidTr="00282974">
        <w:trPr>
          <w:trHeight w:val="320"/>
        </w:trPr>
        <w:tc>
          <w:tcPr>
            <w:tcW w:w="1368" w:type="dxa"/>
            <w:vMerge/>
            <w:noWrap/>
            <w:hideMark/>
          </w:tcPr>
          <w:p w:rsidR="005449DC" w:rsidRPr="00161939" w:rsidRDefault="005449DC" w:rsidP="00282974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170" w:type="dxa"/>
            <w:noWrap/>
            <w:hideMark/>
          </w:tcPr>
          <w:p w:rsidR="005449DC" w:rsidRPr="00161939" w:rsidRDefault="005449DC" w:rsidP="00282974">
            <w:pPr>
              <w:ind w:left="-108"/>
              <w:jc w:val="center"/>
              <w:rPr>
                <w:rFonts w:ascii="Arial" w:eastAsia="Times New Roman" w:hAnsi="Arial"/>
                <w:color w:val="000000"/>
              </w:rPr>
            </w:pPr>
            <w:r w:rsidRPr="00161939">
              <w:rPr>
                <w:rFonts w:ascii="Arial" w:eastAsia="Times New Roman" w:hAnsi="Arial"/>
                <w:color w:val="000000"/>
              </w:rPr>
              <w:t>Day 28</w:t>
            </w:r>
          </w:p>
        </w:tc>
        <w:tc>
          <w:tcPr>
            <w:tcW w:w="2430" w:type="dxa"/>
            <w:noWrap/>
            <w:hideMark/>
          </w:tcPr>
          <w:p w:rsidR="005449DC" w:rsidRPr="00161939" w:rsidRDefault="005449DC" w:rsidP="0028297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61939">
              <w:rPr>
                <w:rFonts w:ascii="Arial" w:eastAsia="Times New Roman" w:hAnsi="Arial"/>
                <w:color w:val="000000"/>
              </w:rPr>
              <w:t>34.1</w:t>
            </w:r>
          </w:p>
        </w:tc>
        <w:tc>
          <w:tcPr>
            <w:tcW w:w="2610" w:type="dxa"/>
            <w:noWrap/>
            <w:hideMark/>
          </w:tcPr>
          <w:p w:rsidR="005449DC" w:rsidRPr="00161939" w:rsidRDefault="005449DC" w:rsidP="00282974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161939">
              <w:rPr>
                <w:rFonts w:ascii="Arial" w:eastAsia="Times New Roman" w:hAnsi="Arial"/>
                <w:color w:val="000000"/>
              </w:rPr>
              <w:t>(0.0–63.6)</w:t>
            </w:r>
          </w:p>
        </w:tc>
      </w:tr>
    </w:tbl>
    <w:p w:rsidR="007D08EE" w:rsidRDefault="007D08EE">
      <w:bookmarkStart w:id="0" w:name="_GoBack"/>
      <w:bookmarkEnd w:id="0"/>
    </w:p>
    <w:sectPr w:rsidR="007D08EE" w:rsidSect="006C50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DC"/>
    <w:rsid w:val="005449DC"/>
    <w:rsid w:val="006C5015"/>
    <w:rsid w:val="007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42D5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Macintosh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Tahata</dc:creator>
  <cp:keywords/>
  <dc:description/>
  <cp:lastModifiedBy>Shawn Tahata</cp:lastModifiedBy>
  <cp:revision>1</cp:revision>
  <dcterms:created xsi:type="dcterms:W3CDTF">2017-12-14T16:43:00Z</dcterms:created>
  <dcterms:modified xsi:type="dcterms:W3CDTF">2017-12-14T16:43:00Z</dcterms:modified>
</cp:coreProperties>
</file>