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188" w:rsidRDefault="00743188" w:rsidP="00743188">
      <w:pPr>
        <w:pStyle w:val="EndNoteBibliography"/>
        <w:spacing w:after="0"/>
        <w:ind w:left="720" w:hanging="720"/>
        <w:jc w:val="center"/>
        <w:rPr>
          <w:rFonts w:ascii="Arial" w:hAnsi="Arial" w:cs="Arial"/>
          <w:b/>
          <w:color w:val="auto"/>
        </w:rPr>
      </w:pPr>
      <w:r>
        <w:rPr>
          <w:rFonts w:ascii="Arial" w:hAnsi="Arial" w:cs="Arial"/>
          <w:b/>
          <w:color w:val="auto"/>
        </w:rPr>
        <w:t>Supplementary Table 1.</w:t>
      </w:r>
      <w:r>
        <w:rPr>
          <w:rFonts w:ascii="Arial" w:hAnsi="Arial" w:cs="Arial"/>
          <w:b/>
          <w:color w:val="C00000"/>
        </w:rPr>
        <w:t xml:space="preserve"> </w:t>
      </w:r>
      <w:r>
        <w:rPr>
          <w:rFonts w:ascii="Arial" w:hAnsi="Arial" w:cs="Arial"/>
          <w:b/>
          <w:color w:val="auto"/>
        </w:rPr>
        <w:t>Characteristics and Response to Agents of the Animal Models Employed In this Paper</w:t>
      </w:r>
    </w:p>
    <w:p w:rsidR="00743188" w:rsidRDefault="00743188" w:rsidP="00743188">
      <w:pPr>
        <w:spacing w:after="0" w:line="480" w:lineRule="auto"/>
        <w:rPr>
          <w:rFonts w:ascii="Arial" w:hAnsi="Arial" w:cs="Arial"/>
          <w:b/>
          <w:color w:val="auto"/>
        </w:rPr>
      </w:pPr>
    </w:p>
    <w:p w:rsidR="00743188" w:rsidRDefault="00743188" w:rsidP="00743188">
      <w:pPr>
        <w:pStyle w:val="ListParagraph"/>
        <w:numPr>
          <w:ilvl w:val="0"/>
          <w:numId w:val="1"/>
        </w:numPr>
        <w:spacing w:line="240" w:lineRule="auto"/>
        <w:rPr>
          <w:rFonts w:ascii="Arial" w:hAnsi="Arial" w:cs="Arial"/>
          <w:b/>
          <w:color w:val="auto"/>
        </w:rPr>
      </w:pPr>
      <w:r>
        <w:rPr>
          <w:rFonts w:ascii="Arial" w:hAnsi="Arial" w:cs="Arial"/>
          <w:b/>
          <w:color w:val="auto"/>
        </w:rPr>
        <w:t>MNU-Induced Mammary Cancer in Sprague-Dawley Rats</w:t>
      </w:r>
    </w:p>
    <w:p w:rsidR="00743188" w:rsidRDefault="00743188" w:rsidP="00743188">
      <w:pPr>
        <w:pStyle w:val="ListParagraph"/>
        <w:spacing w:after="0" w:line="276" w:lineRule="auto"/>
        <w:rPr>
          <w:rFonts w:ascii="Arial" w:hAnsi="Arial" w:cs="Arial"/>
          <w:color w:val="auto"/>
        </w:rPr>
      </w:pPr>
      <w:r>
        <w:rPr>
          <w:rFonts w:ascii="Arial" w:hAnsi="Arial" w:cs="Arial"/>
          <w:b/>
          <w:color w:val="auto"/>
        </w:rPr>
        <w:t>Characteristics:</w:t>
      </w:r>
      <w:r>
        <w:rPr>
          <w:rFonts w:ascii="Arial" w:hAnsi="Arial" w:cs="Arial"/>
          <w:color w:val="auto"/>
        </w:rPr>
        <w:t xml:space="preserve"> Cancers (minimally invasive adenocarcinomas) induced in adolescent Sprague-Dawley rats. All tumors are ER</w:t>
      </w:r>
      <w:r>
        <w:rPr>
          <w:rFonts w:ascii="Arial" w:hAnsi="Arial" w:cs="Arial"/>
          <w:color w:val="auto"/>
          <w:vertAlign w:val="superscript"/>
        </w:rPr>
        <w:t>+</w:t>
      </w:r>
      <w:r>
        <w:rPr>
          <w:rFonts w:ascii="Arial" w:hAnsi="Arial" w:cs="Arial"/>
          <w:color w:val="auto"/>
        </w:rPr>
        <w:t xml:space="preserve"> and by genomic analysis are similar to human well-differentiated ER+ cancers (roughly 50% of tumors have </w:t>
      </w:r>
      <w:r>
        <w:rPr>
          <w:rFonts w:ascii="Arial" w:hAnsi="Arial" w:cs="Arial"/>
          <w:i/>
          <w:color w:val="auto"/>
        </w:rPr>
        <w:t>Ha Ras</w:t>
      </w:r>
      <w:r>
        <w:rPr>
          <w:rFonts w:ascii="Arial" w:hAnsi="Arial" w:cs="Arial"/>
          <w:color w:val="auto"/>
        </w:rPr>
        <w:t xml:space="preserve"> mutations not routinely observed in humans) and tumors are virtually diploid.</w:t>
      </w:r>
    </w:p>
    <w:p w:rsidR="00743188" w:rsidRDefault="00743188" w:rsidP="00743188">
      <w:pPr>
        <w:pStyle w:val="ListParagraph"/>
        <w:spacing w:after="0" w:line="276" w:lineRule="auto"/>
        <w:rPr>
          <w:rFonts w:ascii="Arial" w:hAnsi="Arial" w:cs="Arial"/>
          <w:color w:val="auto"/>
        </w:rPr>
      </w:pPr>
      <w:r>
        <w:rPr>
          <w:rFonts w:ascii="Arial" w:hAnsi="Arial" w:cs="Arial"/>
          <w:b/>
          <w:color w:val="auto"/>
        </w:rPr>
        <w:t>Response to Agents</w:t>
      </w:r>
      <w:r>
        <w:rPr>
          <w:rFonts w:ascii="Arial" w:hAnsi="Arial" w:cs="Arial"/>
          <w:color w:val="auto"/>
        </w:rPr>
        <w:t>: Tumors respond to hormonal treatments including SERMs, aromatase inhibitors, and ovariectomy. Tumors also respond strongly to RXR agonists and EGFR inhibitors. Tumors fail to respond to statins, NSAIDs, antioxidant response element (ARE) agonists, and metformin. Agents that are highly effective in prevention tend to work in therapy in the model.</w:t>
      </w:r>
    </w:p>
    <w:p w:rsidR="00743188" w:rsidRDefault="00743188" w:rsidP="00743188">
      <w:pPr>
        <w:spacing w:after="0" w:line="276" w:lineRule="auto"/>
        <w:rPr>
          <w:rFonts w:ascii="Arial" w:hAnsi="Arial" w:cs="Arial"/>
          <w:color w:val="auto"/>
        </w:rPr>
      </w:pPr>
      <w:r>
        <w:rPr>
          <w:rFonts w:ascii="Arial" w:hAnsi="Arial" w:cs="Arial"/>
          <w:color w:val="auto"/>
        </w:rPr>
        <w:t xml:space="preserve">      </w:t>
      </w:r>
    </w:p>
    <w:p w:rsidR="00743188" w:rsidRDefault="00743188" w:rsidP="00743188">
      <w:pPr>
        <w:pStyle w:val="ListParagraph"/>
        <w:numPr>
          <w:ilvl w:val="0"/>
          <w:numId w:val="1"/>
        </w:numPr>
        <w:spacing w:after="0" w:line="276" w:lineRule="auto"/>
        <w:rPr>
          <w:rFonts w:ascii="Arial" w:hAnsi="Arial" w:cs="Arial"/>
          <w:b/>
          <w:color w:val="auto"/>
        </w:rPr>
      </w:pPr>
      <w:r>
        <w:rPr>
          <w:rFonts w:ascii="Arial" w:hAnsi="Arial" w:cs="Arial"/>
          <w:b/>
          <w:color w:val="auto"/>
        </w:rPr>
        <w:t>MMTV-</w:t>
      </w:r>
      <w:r>
        <w:rPr>
          <w:rFonts w:ascii="Arial" w:hAnsi="Arial" w:cs="Arial"/>
          <w:b/>
          <w:i/>
          <w:color w:val="auto"/>
        </w:rPr>
        <w:t>Neu</w:t>
      </w:r>
      <w:r>
        <w:rPr>
          <w:rFonts w:ascii="Arial" w:hAnsi="Arial" w:cs="Arial"/>
          <w:b/>
          <w:color w:val="auto"/>
        </w:rPr>
        <w:t xml:space="preserve"> /P53ko Transgenic Mice Develop </w:t>
      </w:r>
      <w:r>
        <w:rPr>
          <w:rFonts w:ascii="Arial" w:hAnsi="Arial" w:cs="Arial"/>
          <w:b/>
          <w:i/>
          <w:color w:val="auto"/>
        </w:rPr>
        <w:t>Neu</w:t>
      </w:r>
      <w:r>
        <w:rPr>
          <w:rFonts w:ascii="Arial" w:hAnsi="Arial" w:cs="Arial"/>
          <w:b/>
          <w:color w:val="auto"/>
        </w:rPr>
        <w:t xml:space="preserve"> Overexpressing ER+ Mammary Cancers</w:t>
      </w:r>
    </w:p>
    <w:p w:rsidR="00743188" w:rsidRDefault="00743188" w:rsidP="00743188">
      <w:pPr>
        <w:pStyle w:val="ListParagraph"/>
        <w:spacing w:after="0" w:line="276" w:lineRule="auto"/>
        <w:rPr>
          <w:rFonts w:ascii="Arial" w:hAnsi="Arial" w:cs="Arial"/>
          <w:color w:val="auto"/>
        </w:rPr>
      </w:pPr>
      <w:r>
        <w:rPr>
          <w:rFonts w:ascii="Arial" w:hAnsi="Arial" w:cs="Arial"/>
          <w:b/>
          <w:color w:val="auto"/>
        </w:rPr>
        <w:t>Characteristics</w:t>
      </w:r>
      <w:r>
        <w:rPr>
          <w:rFonts w:ascii="Arial" w:hAnsi="Arial" w:cs="Arial"/>
          <w:color w:val="auto"/>
        </w:rPr>
        <w:t>: Cancers (mammary carcinomas) induced in adolescent transgenic mice. All tumors are ER</w:t>
      </w:r>
      <w:r w:rsidRPr="005F0D30">
        <w:rPr>
          <w:rFonts w:ascii="Arial" w:hAnsi="Arial" w:cs="Arial"/>
          <w:color w:val="auto"/>
          <w:vertAlign w:val="superscript"/>
        </w:rPr>
        <w:t>-</w:t>
      </w:r>
      <w:r>
        <w:rPr>
          <w:rFonts w:ascii="Arial" w:hAnsi="Arial" w:cs="Arial"/>
          <w:color w:val="auto"/>
        </w:rPr>
        <w:t xml:space="preserve">, overexpress wild type </w:t>
      </w:r>
      <w:r>
        <w:rPr>
          <w:rFonts w:ascii="Arial" w:hAnsi="Arial" w:cs="Arial"/>
          <w:i/>
          <w:color w:val="auto"/>
        </w:rPr>
        <w:t>Neu</w:t>
      </w:r>
      <w:r>
        <w:rPr>
          <w:rFonts w:ascii="Arial" w:hAnsi="Arial" w:cs="Arial"/>
          <w:color w:val="auto"/>
        </w:rPr>
        <w:t xml:space="preserve">, and have altered P53 like human ER- Neu over expressing tumors. Unlike MMTV-Neu mice, the tumors that develop in MMTV-Neu/P53Ko mice do not have mutations in Neu transmembrane domain. </w:t>
      </w:r>
    </w:p>
    <w:p w:rsidR="00743188" w:rsidRDefault="00743188" w:rsidP="00743188">
      <w:pPr>
        <w:pStyle w:val="ListParagraph"/>
        <w:spacing w:after="0" w:line="276" w:lineRule="auto"/>
        <w:rPr>
          <w:rFonts w:ascii="Arial" w:hAnsi="Arial" w:cs="Arial"/>
          <w:color w:val="auto"/>
        </w:rPr>
      </w:pPr>
      <w:r>
        <w:rPr>
          <w:rFonts w:ascii="Arial" w:hAnsi="Arial" w:cs="Arial"/>
          <w:b/>
          <w:color w:val="auto"/>
        </w:rPr>
        <w:t>Response to Agents</w:t>
      </w:r>
      <w:r>
        <w:rPr>
          <w:rFonts w:ascii="Arial" w:hAnsi="Arial" w:cs="Arial"/>
          <w:color w:val="auto"/>
        </w:rPr>
        <w:t>:  Strong response to RXR agonists and EGFR inhibitors, and more surprisingly, to SERMs. Model fails to respond to statins, NSAIDs, and metformin. A limited number of agents have been tested when early lesions already exist, and yield positive results (RXR Agonists, EGFR Inhibitors).</w:t>
      </w:r>
    </w:p>
    <w:p w:rsidR="00743188" w:rsidRDefault="00743188" w:rsidP="00743188">
      <w:pPr>
        <w:spacing w:after="0" w:line="276" w:lineRule="auto"/>
        <w:rPr>
          <w:rFonts w:ascii="Arial" w:hAnsi="Arial" w:cs="Arial"/>
          <w:b/>
          <w:color w:val="auto"/>
        </w:rPr>
      </w:pPr>
    </w:p>
    <w:p w:rsidR="00743188" w:rsidRDefault="00743188" w:rsidP="00743188">
      <w:pPr>
        <w:pStyle w:val="ListParagraph"/>
        <w:numPr>
          <w:ilvl w:val="0"/>
          <w:numId w:val="1"/>
        </w:numPr>
        <w:spacing w:after="0" w:line="276" w:lineRule="auto"/>
        <w:rPr>
          <w:rFonts w:ascii="Arial" w:hAnsi="Arial" w:cs="Arial"/>
          <w:b/>
          <w:color w:val="auto"/>
        </w:rPr>
      </w:pPr>
      <w:r>
        <w:rPr>
          <w:rFonts w:ascii="Arial" w:hAnsi="Arial" w:cs="Arial"/>
          <w:b/>
          <w:color w:val="auto"/>
        </w:rPr>
        <w:t>Min Mice Develop Multiple Intestinal Lesions</w:t>
      </w:r>
    </w:p>
    <w:p w:rsidR="00743188" w:rsidRDefault="00743188" w:rsidP="00743188">
      <w:pPr>
        <w:pStyle w:val="ListParagraph"/>
        <w:spacing w:after="0" w:line="276" w:lineRule="auto"/>
        <w:rPr>
          <w:rFonts w:ascii="Arial" w:hAnsi="Arial" w:cs="Arial"/>
          <w:color w:val="auto"/>
        </w:rPr>
      </w:pPr>
      <w:r>
        <w:rPr>
          <w:rFonts w:ascii="Arial" w:hAnsi="Arial" w:cs="Arial"/>
          <w:b/>
          <w:color w:val="auto"/>
        </w:rPr>
        <w:t>Characteristics:</w:t>
      </w:r>
      <w:r>
        <w:rPr>
          <w:rFonts w:ascii="Arial" w:hAnsi="Arial" w:cs="Arial"/>
          <w:color w:val="auto"/>
        </w:rPr>
        <w:t xml:space="preserve">  Mice have germline mutation in the APC gene induced by the mutagen ENU. Mutations in APC are found in human familial adenomatous polyposis patients and most sporadic colon polyps and cancers. The mice develop tumors primarily in the small intestine; unlike humans, in whom tumors occur in the colon.</w:t>
      </w:r>
    </w:p>
    <w:p w:rsidR="00743188" w:rsidRDefault="00743188" w:rsidP="00743188">
      <w:pPr>
        <w:pStyle w:val="ListParagraph"/>
        <w:spacing w:after="0" w:line="276" w:lineRule="auto"/>
        <w:rPr>
          <w:rFonts w:ascii="Arial" w:hAnsi="Arial" w:cs="Arial"/>
          <w:color w:val="auto"/>
        </w:rPr>
      </w:pPr>
      <w:r>
        <w:rPr>
          <w:rFonts w:ascii="Arial" w:hAnsi="Arial" w:cs="Arial"/>
          <w:color w:val="auto"/>
        </w:rPr>
        <w:t>Response to Agents: Model responds strongly to various NSAIDs, coxibs, DFMO, and EGFR inhibitors.  Model does not respond to RXRs or metformin. Response is seen in mice with clear adenoma burden at the time of agent initiation.</w:t>
      </w:r>
    </w:p>
    <w:p w:rsidR="00743188" w:rsidRDefault="00743188" w:rsidP="00743188">
      <w:pPr>
        <w:spacing w:after="0" w:line="276" w:lineRule="auto"/>
        <w:rPr>
          <w:rFonts w:ascii="Arial" w:hAnsi="Arial" w:cs="Arial"/>
          <w:color w:val="auto"/>
        </w:rPr>
      </w:pPr>
    </w:p>
    <w:p w:rsidR="00743188" w:rsidRDefault="00743188" w:rsidP="00743188">
      <w:pPr>
        <w:pStyle w:val="ListParagraph"/>
        <w:numPr>
          <w:ilvl w:val="0"/>
          <w:numId w:val="1"/>
        </w:numPr>
        <w:spacing w:after="0" w:line="276" w:lineRule="auto"/>
        <w:rPr>
          <w:rFonts w:ascii="Arial" w:hAnsi="Arial" w:cs="Arial"/>
          <w:b/>
          <w:color w:val="auto"/>
        </w:rPr>
      </w:pPr>
      <w:r>
        <w:rPr>
          <w:rFonts w:ascii="Arial" w:hAnsi="Arial" w:cs="Arial"/>
          <w:color w:val="auto"/>
        </w:rPr>
        <w:t xml:space="preserve"> </w:t>
      </w:r>
      <w:r>
        <w:rPr>
          <w:rFonts w:ascii="Arial" w:hAnsi="Arial" w:cs="Arial"/>
          <w:b/>
          <w:color w:val="auto"/>
        </w:rPr>
        <w:t>AOM-Induced Colon Cancers in Fischer-344 Rats</w:t>
      </w:r>
    </w:p>
    <w:p w:rsidR="00743188" w:rsidRDefault="00743188" w:rsidP="00743188">
      <w:pPr>
        <w:pStyle w:val="ListParagraph"/>
        <w:spacing w:after="0" w:line="276" w:lineRule="auto"/>
        <w:rPr>
          <w:rFonts w:ascii="Arial" w:hAnsi="Arial" w:cs="Arial"/>
          <w:color w:val="auto"/>
        </w:rPr>
      </w:pPr>
      <w:r>
        <w:rPr>
          <w:rFonts w:ascii="Arial" w:hAnsi="Arial" w:cs="Arial"/>
          <w:b/>
          <w:color w:val="auto"/>
        </w:rPr>
        <w:t>Characteristics:</w:t>
      </w:r>
      <w:r>
        <w:rPr>
          <w:rFonts w:ascii="Arial" w:hAnsi="Arial" w:cs="Arial"/>
          <w:color w:val="auto"/>
        </w:rPr>
        <w:t xml:space="preserve">   Colon tumors are induced by the organ-specific carcinogen, AOM. The tumors are minimally invasive adenocarcinomas in colon. Tumors have mutations in β-catenin, the same pathway found in humans (APC gene) and roughly 40-50% of tumors have Ki Ras mutations like humans.</w:t>
      </w:r>
    </w:p>
    <w:p w:rsidR="00743188" w:rsidRDefault="00743188" w:rsidP="00743188">
      <w:pPr>
        <w:pStyle w:val="ListParagraph"/>
        <w:spacing w:after="0" w:line="276" w:lineRule="auto"/>
        <w:rPr>
          <w:rFonts w:ascii="Arial" w:hAnsi="Arial" w:cs="Arial"/>
          <w:color w:val="auto"/>
        </w:rPr>
      </w:pPr>
      <w:r>
        <w:rPr>
          <w:rFonts w:ascii="Arial" w:hAnsi="Arial" w:cs="Arial"/>
          <w:b/>
          <w:color w:val="auto"/>
        </w:rPr>
        <w:t>Response to Agents</w:t>
      </w:r>
      <w:r>
        <w:rPr>
          <w:rFonts w:ascii="Arial" w:hAnsi="Arial" w:cs="Arial"/>
          <w:color w:val="auto"/>
        </w:rPr>
        <w:t>: Tumors strongly respond to various NSAIDs, coxibs, DFMO and EGFR inhibitors, and don’t respond to RXRs or metformin.  Agents effective even in rats with aberrant crypt foci.</w:t>
      </w:r>
    </w:p>
    <w:p w:rsidR="00743188" w:rsidRDefault="00743188" w:rsidP="00743188">
      <w:pPr>
        <w:spacing w:after="0" w:line="276" w:lineRule="auto"/>
        <w:rPr>
          <w:rFonts w:ascii="Arial" w:hAnsi="Arial" w:cs="Arial"/>
          <w:color w:val="auto"/>
        </w:rPr>
      </w:pPr>
    </w:p>
    <w:p w:rsidR="00743188" w:rsidRDefault="00743188" w:rsidP="00743188">
      <w:pPr>
        <w:pStyle w:val="ListParagraph"/>
        <w:numPr>
          <w:ilvl w:val="0"/>
          <w:numId w:val="1"/>
        </w:numPr>
        <w:spacing w:after="0" w:line="276" w:lineRule="auto"/>
        <w:rPr>
          <w:rFonts w:ascii="Arial" w:hAnsi="Arial" w:cs="Arial"/>
          <w:b/>
          <w:color w:val="auto"/>
        </w:rPr>
      </w:pPr>
      <w:r>
        <w:rPr>
          <w:rFonts w:ascii="Arial" w:hAnsi="Arial" w:cs="Arial"/>
          <w:b/>
          <w:color w:val="auto"/>
        </w:rPr>
        <w:t>OH-BBN-induced Invasive Bladder Cancers in Female Fischer-344 Rats</w:t>
      </w:r>
    </w:p>
    <w:p w:rsidR="00743188" w:rsidRDefault="00743188" w:rsidP="00743188">
      <w:pPr>
        <w:spacing w:line="276" w:lineRule="auto"/>
        <w:ind w:left="720"/>
        <w:rPr>
          <w:rFonts w:ascii="Arial" w:hAnsi="Arial" w:cs="Arial"/>
          <w:color w:val="auto"/>
        </w:rPr>
      </w:pPr>
      <w:r>
        <w:rPr>
          <w:rFonts w:ascii="Arial" w:hAnsi="Arial" w:cs="Arial"/>
          <w:b/>
          <w:color w:val="auto"/>
        </w:rPr>
        <w:lastRenderedPageBreak/>
        <w:t>Characteristics:</w:t>
      </w:r>
      <w:r>
        <w:rPr>
          <w:rFonts w:ascii="Arial" w:hAnsi="Arial" w:cs="Arial"/>
          <w:color w:val="auto"/>
        </w:rPr>
        <w:t xml:space="preserve"> Tumors induced by organ-specific carcinogen hydroxybutyl(butyl)nitrosamine are invasive bladder cancers. These tumors look histopathologically similar to human invasive bladder cancer. RNA analyses have shown substantial overlap between invasive human bladder cancer and the changes observed in the rodent tumors.</w:t>
      </w:r>
    </w:p>
    <w:p w:rsidR="00743188" w:rsidRDefault="00743188" w:rsidP="00743188">
      <w:pPr>
        <w:spacing w:line="276" w:lineRule="auto"/>
        <w:ind w:left="720"/>
        <w:rPr>
          <w:rFonts w:ascii="Arial" w:hAnsi="Arial" w:cs="Arial"/>
          <w:color w:val="auto"/>
        </w:rPr>
      </w:pPr>
      <w:r>
        <w:rPr>
          <w:rFonts w:ascii="Arial" w:hAnsi="Arial" w:cs="Arial"/>
          <w:b/>
          <w:color w:val="auto"/>
        </w:rPr>
        <w:t>Response to Agents</w:t>
      </w:r>
      <w:r>
        <w:rPr>
          <w:rFonts w:ascii="Arial" w:hAnsi="Arial" w:cs="Arial"/>
          <w:color w:val="auto"/>
        </w:rPr>
        <w:t xml:space="preserve">:  Model strongly responds to various NSAIDs, coxibs, and EGFR inhibitors. Model minimally responds to metformin and ARE agonists. PPAR gamma agonists and RXR agonists enhance tumor formation.   There is some data in humans that PPAR gamma agonists enhance “luminal” bladder cancers.  The strong agents (NSAIDs and EGFR inhibitors) are effective even when rats have developed invasive microcarcinomas. </w:t>
      </w:r>
    </w:p>
    <w:p w:rsidR="00743188" w:rsidRDefault="00743188" w:rsidP="00743188">
      <w:pPr>
        <w:numPr>
          <w:ilvl w:val="0"/>
          <w:numId w:val="1"/>
        </w:numPr>
        <w:spacing w:line="240" w:lineRule="auto"/>
        <w:rPr>
          <w:rFonts w:ascii="Arial" w:hAnsi="Arial" w:cs="Arial"/>
          <w:b/>
          <w:color w:val="auto"/>
        </w:rPr>
      </w:pPr>
      <w:r>
        <w:rPr>
          <w:rFonts w:ascii="Arial" w:hAnsi="Arial" w:cs="Arial"/>
          <w:b/>
          <w:color w:val="auto"/>
        </w:rPr>
        <w:t>UV-induced Squamous Cell Skin Cancers in SKH Hairless Mice</w:t>
      </w:r>
    </w:p>
    <w:p w:rsidR="00743188" w:rsidRDefault="00743188" w:rsidP="00743188">
      <w:pPr>
        <w:spacing w:line="276" w:lineRule="auto"/>
        <w:ind w:left="720"/>
        <w:rPr>
          <w:rFonts w:ascii="Arial" w:hAnsi="Arial" w:cs="Arial"/>
          <w:color w:val="FF0000"/>
        </w:rPr>
      </w:pPr>
      <w:r>
        <w:rPr>
          <w:rFonts w:ascii="Arial" w:hAnsi="Arial" w:cs="Arial"/>
          <w:b/>
          <w:color w:val="auto"/>
        </w:rPr>
        <w:t>Characteristics:</w:t>
      </w:r>
      <w:r>
        <w:rPr>
          <w:rFonts w:ascii="Arial" w:hAnsi="Arial" w:cs="Arial"/>
          <w:color w:val="auto"/>
        </w:rPr>
        <w:t xml:space="preserve">  Squamous cell skin cancers induced by repeated UVB exposure.  This is the same carcinogen as in man. Histologically, tumors look like those in humans. Both mouse and human SCCs driven by P53 mutations at dyrimidine sites. </w:t>
      </w:r>
    </w:p>
    <w:p w:rsidR="00743188" w:rsidRDefault="00743188" w:rsidP="00743188">
      <w:pPr>
        <w:spacing w:line="276" w:lineRule="auto"/>
        <w:ind w:left="720"/>
        <w:rPr>
          <w:rFonts w:ascii="Arial" w:hAnsi="Arial" w:cs="Arial"/>
          <w:color w:val="auto"/>
        </w:rPr>
      </w:pPr>
      <w:r>
        <w:rPr>
          <w:rFonts w:ascii="Arial" w:hAnsi="Arial" w:cs="Arial"/>
          <w:b/>
          <w:color w:val="auto"/>
        </w:rPr>
        <w:t>Response to Agents:</w:t>
      </w:r>
      <w:r>
        <w:rPr>
          <w:rFonts w:ascii="Arial" w:hAnsi="Arial" w:cs="Arial"/>
          <w:color w:val="auto"/>
        </w:rPr>
        <w:t xml:space="preserve">  Model strongly responds to various NSAIDs, coxibs, and DFMO. Model minimally responds to Vitamin E, PPAR gamma agonist.  The strong agents (NSAIDs and DFMO) are effective even when mice have developed papillomas and early squamous cell cancers. </w:t>
      </w:r>
    </w:p>
    <w:p w:rsidR="00743188" w:rsidRDefault="00743188" w:rsidP="00743188">
      <w:pPr>
        <w:pStyle w:val="ListParagraph"/>
        <w:spacing w:after="0" w:line="276" w:lineRule="auto"/>
        <w:rPr>
          <w:rFonts w:ascii="Arial" w:hAnsi="Arial" w:cs="Arial"/>
          <w:color w:val="auto"/>
        </w:rPr>
      </w:pPr>
    </w:p>
    <w:p w:rsidR="00743188" w:rsidRDefault="00743188" w:rsidP="00743188">
      <w:pPr>
        <w:spacing w:after="0" w:line="360" w:lineRule="auto"/>
        <w:ind w:left="720"/>
        <w:rPr>
          <w:rFonts w:ascii="Arial" w:hAnsi="Arial" w:cs="Arial"/>
          <w:color w:val="auto"/>
        </w:rPr>
      </w:pPr>
      <w:r>
        <w:rPr>
          <w:rFonts w:ascii="Arial" w:hAnsi="Arial" w:cs="Arial"/>
          <w:color w:val="auto"/>
        </w:rPr>
        <w:t xml:space="preserve">Abbreviations: AOM = azoxymethane; APC = Adenomatous polyposis coli; DFMO = difluromethylornithine; EGFR = epidermal growth factor receptor; ENU = </w:t>
      </w:r>
      <w:r>
        <w:rPr>
          <w:rFonts w:ascii="Arial" w:hAnsi="Arial" w:cs="Arial"/>
          <w:i/>
          <w:color w:val="auto"/>
        </w:rPr>
        <w:t>N</w:t>
      </w:r>
      <w:r>
        <w:rPr>
          <w:rFonts w:ascii="Arial" w:hAnsi="Arial" w:cs="Arial"/>
          <w:color w:val="auto"/>
        </w:rPr>
        <w:t>-ethyl-</w:t>
      </w:r>
      <w:r>
        <w:rPr>
          <w:rFonts w:ascii="Arial" w:hAnsi="Arial" w:cs="Arial"/>
          <w:i/>
          <w:color w:val="auto"/>
        </w:rPr>
        <w:t>N</w:t>
      </w:r>
      <w:r>
        <w:rPr>
          <w:rFonts w:ascii="Arial" w:hAnsi="Arial" w:cs="Arial"/>
          <w:color w:val="auto"/>
        </w:rPr>
        <w:t xml:space="preserve">-nitroso urea; ER = estrogen receptor; MMTV = mouse mammary tumor virus; MNU = </w:t>
      </w:r>
      <w:r>
        <w:rPr>
          <w:rFonts w:ascii="Arial" w:hAnsi="Arial" w:cs="Arial"/>
          <w:i/>
          <w:color w:val="auto"/>
        </w:rPr>
        <w:t>N-</w:t>
      </w:r>
      <w:r>
        <w:rPr>
          <w:rFonts w:ascii="Arial" w:hAnsi="Arial" w:cs="Arial"/>
          <w:color w:val="auto"/>
        </w:rPr>
        <w:t>methyl-</w:t>
      </w:r>
      <w:r>
        <w:rPr>
          <w:rFonts w:ascii="Arial" w:hAnsi="Arial" w:cs="Arial"/>
          <w:i/>
          <w:color w:val="auto"/>
        </w:rPr>
        <w:t>N</w:t>
      </w:r>
      <w:r>
        <w:rPr>
          <w:rFonts w:ascii="Arial" w:hAnsi="Arial" w:cs="Arial"/>
          <w:color w:val="auto"/>
        </w:rPr>
        <w:t>-nitrosourea; NSAID = nonsteroidal anti-inflammatory drug; PPAR = peroxisome proliferator-activated receptor; RNA = ribonucleic acid; RXR = retinoic X receptor; SERM = selective estrogen receptor modulator.</w:t>
      </w:r>
    </w:p>
    <w:p w:rsidR="00743188" w:rsidRPr="00263DBF" w:rsidRDefault="00743188" w:rsidP="00743188">
      <w:pPr>
        <w:spacing w:after="0" w:line="240" w:lineRule="auto"/>
        <w:jc w:val="center"/>
        <w:rPr>
          <w:rFonts w:ascii="Arial" w:hAnsi="Arial" w:cs="Arial"/>
          <w:b/>
        </w:rPr>
      </w:pPr>
      <w:r w:rsidRPr="00BE4823">
        <w:rPr>
          <w:rFonts w:ascii="Arial" w:hAnsi="Arial" w:cs="Arial"/>
          <w:b/>
        </w:rPr>
        <w:br w:type="page"/>
      </w:r>
      <w:r w:rsidRPr="00263DBF">
        <w:rPr>
          <w:rFonts w:ascii="Arial" w:hAnsi="Arial" w:cs="Arial"/>
          <w:b/>
        </w:rPr>
        <w:lastRenderedPageBreak/>
        <w:t>Supplementary Table 2. Materials Relating to Reproducibility of Suboptimal Doses [ppm (mg/kg diet) or mg/Kg BW/day, i.g]</w:t>
      </w:r>
    </w:p>
    <w:p w:rsidR="00743188" w:rsidRDefault="00743188" w:rsidP="00743188">
      <w:pPr>
        <w:spacing w:after="0" w:line="240" w:lineRule="auto"/>
        <w:jc w:val="center"/>
        <w:rPr>
          <w:rFonts w:ascii="Arial" w:hAnsi="Arial" w:cs="Arial"/>
        </w:rPr>
      </w:pPr>
    </w:p>
    <w:p w:rsidR="00743188" w:rsidRDefault="00743188" w:rsidP="00743188">
      <w:pPr>
        <w:spacing w:after="0" w:line="240" w:lineRule="auto"/>
        <w:rPr>
          <w:rFonts w:ascii="Arial" w:hAnsi="Arial" w:cs="Arial"/>
        </w:rPr>
      </w:pPr>
    </w:p>
    <w:p w:rsidR="00743188" w:rsidRPr="002A2865" w:rsidRDefault="00743188" w:rsidP="00743188">
      <w:pPr>
        <w:spacing w:after="0" w:line="240" w:lineRule="auto"/>
        <w:rPr>
          <w:rFonts w:ascii="Arial" w:hAnsi="Arial" w:cs="Arial"/>
          <w:u w:val="single"/>
        </w:rPr>
      </w:pPr>
      <w:r w:rsidRPr="002A2865">
        <w:rPr>
          <w:rFonts w:ascii="Arial" w:hAnsi="Arial" w:cs="Arial"/>
          <w:u w:val="single"/>
        </w:rPr>
        <w:t>Mammary</w:t>
      </w:r>
      <w:r w:rsidRPr="00823FF6">
        <w:rPr>
          <w:rFonts w:ascii="Arial" w:hAnsi="Arial" w:cs="Arial"/>
        </w:rPr>
        <w:t xml:space="preserve"> </w:t>
      </w:r>
      <w:r w:rsidRPr="002A2865">
        <w:rPr>
          <w:rFonts w:ascii="Arial" w:hAnsi="Arial" w:cs="Arial"/>
          <w:u w:val="single"/>
        </w:rPr>
        <w:t>Cancers</w:t>
      </w:r>
    </w:p>
    <w:p w:rsidR="00743188" w:rsidRPr="00BE4823" w:rsidRDefault="00743188" w:rsidP="00743188">
      <w:pPr>
        <w:spacing w:after="0" w:line="240" w:lineRule="auto"/>
        <w:ind w:left="720"/>
        <w:rPr>
          <w:rFonts w:ascii="Arial" w:hAnsi="Arial" w:cs="Arial"/>
        </w:rPr>
      </w:pPr>
    </w:p>
    <w:p w:rsidR="00743188" w:rsidRPr="00BE4823" w:rsidRDefault="00743188" w:rsidP="00743188">
      <w:pPr>
        <w:spacing w:line="240" w:lineRule="auto"/>
        <w:ind w:left="720"/>
        <w:rPr>
          <w:rFonts w:ascii="Arial" w:hAnsi="Arial" w:cs="Arial"/>
          <w:b/>
          <w:u w:val="single"/>
        </w:rPr>
      </w:pPr>
      <w:r w:rsidRPr="00BE4823">
        <w:rPr>
          <w:rFonts w:ascii="Arial" w:hAnsi="Arial" w:cs="Arial"/>
          <w:b/>
          <w:u w:val="single"/>
        </w:rPr>
        <w:t>Vorozole</w:t>
      </w:r>
    </w:p>
    <w:p w:rsidR="00743188" w:rsidRPr="00BE4823" w:rsidRDefault="00743188" w:rsidP="00743188">
      <w:pPr>
        <w:spacing w:after="0" w:line="360" w:lineRule="auto"/>
        <w:ind w:left="720"/>
        <w:rPr>
          <w:rFonts w:ascii="Arial" w:hAnsi="Arial" w:cs="Arial"/>
        </w:rPr>
      </w:pPr>
      <w:r w:rsidRPr="00BE4823">
        <w:rPr>
          <w:rFonts w:ascii="Arial" w:hAnsi="Arial" w:cs="Arial"/>
        </w:rPr>
        <w:t>Experiment 1 - Vehicle Control - 4.5</w:t>
      </w:r>
      <w:r>
        <w:rPr>
          <w:rFonts w:ascii="Arial" w:hAnsi="Arial" w:cs="Arial"/>
        </w:rPr>
        <w:t xml:space="preserve"> </w:t>
      </w:r>
      <w:r w:rsidRPr="00BE4823">
        <w:rPr>
          <w:rFonts w:ascii="Arial" w:hAnsi="Arial" w:cs="Arial"/>
        </w:rPr>
        <w:t>±</w:t>
      </w:r>
      <w:r>
        <w:rPr>
          <w:rFonts w:ascii="Arial" w:hAnsi="Arial" w:cs="Arial"/>
        </w:rPr>
        <w:t xml:space="preserve"> </w:t>
      </w:r>
      <w:r w:rsidRPr="00BE4823">
        <w:rPr>
          <w:rFonts w:ascii="Arial" w:hAnsi="Arial" w:cs="Arial"/>
        </w:rPr>
        <w:t>0.6; Vorozole</w:t>
      </w:r>
      <w:r>
        <w:rPr>
          <w:rFonts w:ascii="Arial" w:hAnsi="Arial" w:cs="Arial"/>
        </w:rPr>
        <w:t>,</w:t>
      </w:r>
      <w:r w:rsidRPr="00BE4823">
        <w:rPr>
          <w:rFonts w:ascii="Arial" w:hAnsi="Arial" w:cs="Arial"/>
        </w:rPr>
        <w:t xml:space="preserve"> 0.16 mg/Kg</w:t>
      </w:r>
      <w:r>
        <w:rPr>
          <w:rFonts w:ascii="Arial" w:hAnsi="Arial" w:cs="Arial"/>
        </w:rPr>
        <w:t xml:space="preserve"> BW</w:t>
      </w:r>
      <w:r w:rsidRPr="00BE4823">
        <w:rPr>
          <w:rFonts w:ascii="Arial" w:hAnsi="Arial" w:cs="Arial"/>
        </w:rPr>
        <w:t xml:space="preserve"> 2.4</w:t>
      </w:r>
      <w:r>
        <w:rPr>
          <w:rFonts w:ascii="Arial" w:hAnsi="Arial" w:cs="Arial"/>
        </w:rPr>
        <w:t xml:space="preserve"> </w:t>
      </w:r>
      <w:r w:rsidRPr="00BE4823">
        <w:rPr>
          <w:rFonts w:ascii="Arial" w:hAnsi="Arial" w:cs="Arial"/>
        </w:rPr>
        <w:t>± 0.4 (.</w:t>
      </w:r>
      <w:r>
        <w:rPr>
          <w:rFonts w:ascii="Arial" w:hAnsi="Arial" w:cs="Arial"/>
        </w:rPr>
        <w:t>47%↓</w:t>
      </w:r>
      <w:r w:rsidRPr="00BE4823">
        <w:rPr>
          <w:rFonts w:ascii="Arial" w:hAnsi="Arial" w:cs="Arial"/>
        </w:rPr>
        <w:t xml:space="preserve">); </w:t>
      </w:r>
    </w:p>
    <w:p w:rsidR="00743188" w:rsidRPr="00BE4823" w:rsidRDefault="00743188" w:rsidP="00743188">
      <w:pPr>
        <w:spacing w:after="0" w:line="360" w:lineRule="auto"/>
        <w:ind w:left="720"/>
        <w:rPr>
          <w:rFonts w:ascii="Arial" w:hAnsi="Arial" w:cs="Arial"/>
        </w:rPr>
      </w:pPr>
      <w:r w:rsidRPr="00BE4823">
        <w:rPr>
          <w:rFonts w:ascii="Arial" w:hAnsi="Arial" w:cs="Arial"/>
        </w:rPr>
        <w:t xml:space="preserve">                        Vorozole</w:t>
      </w:r>
      <w:r>
        <w:rPr>
          <w:rFonts w:ascii="Arial" w:hAnsi="Arial" w:cs="Arial"/>
        </w:rPr>
        <w:t>,</w:t>
      </w:r>
      <w:r w:rsidRPr="00BE4823">
        <w:rPr>
          <w:rFonts w:ascii="Arial" w:hAnsi="Arial" w:cs="Arial"/>
        </w:rPr>
        <w:t xml:space="preserve"> 0.32 mg/K</w:t>
      </w:r>
      <w:r>
        <w:rPr>
          <w:rFonts w:ascii="Arial" w:hAnsi="Arial" w:cs="Arial"/>
        </w:rPr>
        <w:t xml:space="preserve">g </w:t>
      </w:r>
      <w:r w:rsidRPr="00BE4823">
        <w:rPr>
          <w:rFonts w:ascii="Arial" w:hAnsi="Arial" w:cs="Arial"/>
        </w:rPr>
        <w:t xml:space="preserve">BW </w:t>
      </w:r>
      <w:r>
        <w:rPr>
          <w:rFonts w:ascii="Arial" w:hAnsi="Arial" w:cs="Arial"/>
        </w:rPr>
        <w:t xml:space="preserve">- </w:t>
      </w:r>
      <w:r w:rsidRPr="00BE4823">
        <w:rPr>
          <w:rFonts w:ascii="Arial" w:hAnsi="Arial" w:cs="Arial"/>
        </w:rPr>
        <w:t>1.28</w:t>
      </w:r>
      <w:r>
        <w:rPr>
          <w:rFonts w:ascii="Arial" w:hAnsi="Arial" w:cs="Arial"/>
        </w:rPr>
        <w:t xml:space="preserve"> </w:t>
      </w:r>
      <w:r w:rsidRPr="00BE4823">
        <w:rPr>
          <w:rFonts w:ascii="Arial" w:hAnsi="Arial" w:cs="Arial"/>
        </w:rPr>
        <w:t>±</w:t>
      </w:r>
      <w:r>
        <w:rPr>
          <w:rFonts w:ascii="Arial" w:hAnsi="Arial" w:cs="Arial"/>
        </w:rPr>
        <w:t xml:space="preserve"> </w:t>
      </w:r>
      <w:r w:rsidRPr="00BE4823">
        <w:rPr>
          <w:rFonts w:ascii="Arial" w:hAnsi="Arial" w:cs="Arial"/>
        </w:rPr>
        <w:t>0.46 (</w:t>
      </w:r>
      <w:r>
        <w:rPr>
          <w:rFonts w:ascii="Arial" w:hAnsi="Arial" w:cs="Arial"/>
        </w:rPr>
        <w:t>72%↓</w:t>
      </w:r>
      <w:r w:rsidRPr="00BE4823">
        <w:rPr>
          <w:rFonts w:ascii="Arial" w:hAnsi="Arial" w:cs="Arial"/>
        </w:rPr>
        <w:t>)</w:t>
      </w:r>
    </w:p>
    <w:p w:rsidR="00743188" w:rsidRPr="00BE4823" w:rsidRDefault="00743188" w:rsidP="00743188">
      <w:pPr>
        <w:spacing w:after="0" w:line="360" w:lineRule="auto"/>
        <w:ind w:left="720"/>
        <w:rPr>
          <w:rFonts w:ascii="Arial" w:hAnsi="Arial" w:cs="Arial"/>
        </w:rPr>
      </w:pPr>
      <w:r w:rsidRPr="00BE4823">
        <w:rPr>
          <w:rFonts w:ascii="Arial" w:hAnsi="Arial" w:cs="Arial"/>
        </w:rPr>
        <w:t>Experiment 2 - Vehicle Control - 5.2</w:t>
      </w:r>
      <w:r>
        <w:rPr>
          <w:rFonts w:ascii="Arial" w:hAnsi="Arial" w:cs="Arial"/>
        </w:rPr>
        <w:t xml:space="preserve"> </w:t>
      </w:r>
      <w:r w:rsidRPr="00BE4823">
        <w:rPr>
          <w:rFonts w:ascii="Arial" w:hAnsi="Arial" w:cs="Arial"/>
        </w:rPr>
        <w:t>±</w:t>
      </w:r>
      <w:r>
        <w:rPr>
          <w:rFonts w:ascii="Arial" w:hAnsi="Arial" w:cs="Arial"/>
        </w:rPr>
        <w:t xml:space="preserve"> </w:t>
      </w:r>
      <w:r w:rsidRPr="00BE4823">
        <w:rPr>
          <w:rFonts w:ascii="Arial" w:hAnsi="Arial" w:cs="Arial"/>
        </w:rPr>
        <w:t>0.7; Vorozole</w:t>
      </w:r>
      <w:r>
        <w:rPr>
          <w:rFonts w:ascii="Arial" w:hAnsi="Arial" w:cs="Arial"/>
        </w:rPr>
        <w:t>,</w:t>
      </w:r>
      <w:r w:rsidRPr="00BE4823">
        <w:rPr>
          <w:rFonts w:ascii="Arial" w:hAnsi="Arial" w:cs="Arial"/>
        </w:rPr>
        <w:t xml:space="preserve"> 0.12 mg/Kg </w:t>
      </w:r>
      <w:r>
        <w:rPr>
          <w:rFonts w:ascii="Arial" w:hAnsi="Arial" w:cs="Arial"/>
        </w:rPr>
        <w:t xml:space="preserve">- </w:t>
      </w:r>
      <w:r w:rsidRPr="00BE4823">
        <w:rPr>
          <w:rFonts w:ascii="Arial" w:hAnsi="Arial" w:cs="Arial"/>
        </w:rPr>
        <w:t xml:space="preserve">2.8 ± 0.4 </w:t>
      </w:r>
      <w:r>
        <w:rPr>
          <w:rFonts w:ascii="Arial" w:hAnsi="Arial" w:cs="Arial"/>
        </w:rPr>
        <w:t>(46%↓)</w:t>
      </w:r>
    </w:p>
    <w:p w:rsidR="00743188" w:rsidRPr="00BE4823" w:rsidRDefault="00743188" w:rsidP="00743188">
      <w:pPr>
        <w:spacing w:after="0" w:line="360" w:lineRule="auto"/>
        <w:ind w:firstLine="720"/>
        <w:rPr>
          <w:rFonts w:ascii="Arial" w:hAnsi="Arial" w:cs="Arial"/>
        </w:rPr>
      </w:pPr>
      <w:r w:rsidRPr="00BE4823">
        <w:rPr>
          <w:rFonts w:ascii="Arial" w:hAnsi="Arial" w:cs="Arial"/>
        </w:rPr>
        <w:t>Experiment 3 - Vehicle Control - 4.6</w:t>
      </w:r>
      <w:r>
        <w:rPr>
          <w:rFonts w:ascii="Arial" w:hAnsi="Arial" w:cs="Arial"/>
        </w:rPr>
        <w:t xml:space="preserve"> </w:t>
      </w:r>
      <w:r w:rsidRPr="00BE4823">
        <w:rPr>
          <w:rFonts w:ascii="Arial" w:hAnsi="Arial" w:cs="Arial"/>
        </w:rPr>
        <w:t>±</w:t>
      </w:r>
      <w:r>
        <w:rPr>
          <w:rFonts w:ascii="Arial" w:hAnsi="Arial" w:cs="Arial"/>
        </w:rPr>
        <w:t xml:space="preserve"> </w:t>
      </w:r>
      <w:r w:rsidRPr="00BE4823">
        <w:rPr>
          <w:rFonts w:ascii="Arial" w:hAnsi="Arial" w:cs="Arial"/>
        </w:rPr>
        <w:t>0.7; Vorozole</w:t>
      </w:r>
      <w:r>
        <w:rPr>
          <w:rFonts w:ascii="Arial" w:hAnsi="Arial" w:cs="Arial"/>
        </w:rPr>
        <w:t>,</w:t>
      </w:r>
      <w:r w:rsidRPr="00BE4823">
        <w:rPr>
          <w:rFonts w:ascii="Arial" w:hAnsi="Arial" w:cs="Arial"/>
        </w:rPr>
        <w:t xml:space="preserve"> 0.1</w:t>
      </w:r>
      <w:r>
        <w:rPr>
          <w:rFonts w:ascii="Arial" w:hAnsi="Arial" w:cs="Arial"/>
        </w:rPr>
        <w:t>6</w:t>
      </w:r>
      <w:r w:rsidRPr="00BE4823">
        <w:rPr>
          <w:rFonts w:ascii="Arial" w:hAnsi="Arial" w:cs="Arial"/>
        </w:rPr>
        <w:t xml:space="preserve"> mg/Kg </w:t>
      </w:r>
      <w:r>
        <w:rPr>
          <w:rFonts w:ascii="Arial" w:hAnsi="Arial" w:cs="Arial"/>
        </w:rPr>
        <w:t xml:space="preserve">- </w:t>
      </w:r>
      <w:r w:rsidRPr="00BE4823">
        <w:rPr>
          <w:rFonts w:ascii="Arial" w:hAnsi="Arial" w:cs="Arial"/>
        </w:rPr>
        <w:t>3.0 ± 0.6</w:t>
      </w:r>
      <w:r>
        <w:rPr>
          <w:rFonts w:ascii="Arial" w:hAnsi="Arial" w:cs="Arial"/>
        </w:rPr>
        <w:t xml:space="preserve"> </w:t>
      </w:r>
      <w:r w:rsidRPr="00BE4823">
        <w:rPr>
          <w:rFonts w:ascii="Arial" w:hAnsi="Arial" w:cs="Arial"/>
        </w:rPr>
        <w:t>(</w:t>
      </w:r>
      <w:r>
        <w:rPr>
          <w:rFonts w:ascii="Arial" w:hAnsi="Arial" w:cs="Arial"/>
        </w:rPr>
        <w:t>35%↓)</w:t>
      </w:r>
    </w:p>
    <w:p w:rsidR="00743188" w:rsidRPr="00BE4823" w:rsidRDefault="00743188" w:rsidP="00743188">
      <w:pPr>
        <w:spacing w:line="240" w:lineRule="auto"/>
        <w:ind w:firstLine="720"/>
        <w:rPr>
          <w:rFonts w:ascii="Arial" w:hAnsi="Arial" w:cs="Arial"/>
        </w:rPr>
      </w:pPr>
    </w:p>
    <w:p w:rsidR="00743188" w:rsidRPr="00BE4823" w:rsidRDefault="00743188" w:rsidP="00743188">
      <w:pPr>
        <w:spacing w:after="0" w:line="360" w:lineRule="auto"/>
        <w:ind w:firstLine="720"/>
        <w:rPr>
          <w:rFonts w:ascii="Arial" w:hAnsi="Arial" w:cs="Arial"/>
          <w:b/>
          <w:u w:val="single"/>
        </w:rPr>
      </w:pPr>
      <w:r w:rsidRPr="00BE4823">
        <w:rPr>
          <w:rFonts w:ascii="Arial" w:hAnsi="Arial" w:cs="Arial"/>
          <w:b/>
          <w:u w:val="single"/>
        </w:rPr>
        <w:t>Tamoxifen</w:t>
      </w:r>
    </w:p>
    <w:p w:rsidR="00743188" w:rsidRPr="00BE4823" w:rsidRDefault="00743188" w:rsidP="00743188">
      <w:pPr>
        <w:spacing w:after="0" w:line="360" w:lineRule="auto"/>
        <w:ind w:left="720"/>
        <w:rPr>
          <w:rFonts w:ascii="Arial" w:hAnsi="Arial" w:cs="Arial"/>
        </w:rPr>
      </w:pPr>
      <w:r w:rsidRPr="00BE4823">
        <w:rPr>
          <w:rFonts w:ascii="Arial" w:hAnsi="Arial" w:cs="Arial"/>
        </w:rPr>
        <w:t xml:space="preserve">Experiment 1 - Vehicle Control </w:t>
      </w:r>
      <w:r>
        <w:rPr>
          <w:rFonts w:ascii="Arial" w:hAnsi="Arial" w:cs="Arial"/>
        </w:rPr>
        <w:t xml:space="preserve">- </w:t>
      </w:r>
      <w:r w:rsidRPr="00BE4823">
        <w:rPr>
          <w:rFonts w:ascii="Arial" w:hAnsi="Arial" w:cs="Arial"/>
        </w:rPr>
        <w:t>7.3 ± 1.3; Tamoxifen</w:t>
      </w:r>
      <w:r>
        <w:rPr>
          <w:rFonts w:ascii="Arial" w:hAnsi="Arial" w:cs="Arial"/>
        </w:rPr>
        <w:t>,</w:t>
      </w:r>
      <w:r w:rsidRPr="00BE4823">
        <w:rPr>
          <w:rFonts w:ascii="Arial" w:hAnsi="Arial" w:cs="Arial"/>
        </w:rPr>
        <w:t xml:space="preserve">.0.4 ppm </w:t>
      </w:r>
      <w:r>
        <w:rPr>
          <w:rFonts w:ascii="Arial" w:hAnsi="Arial" w:cs="Arial"/>
        </w:rPr>
        <w:t xml:space="preserve">- </w:t>
      </w:r>
      <w:r w:rsidRPr="00BE4823">
        <w:rPr>
          <w:rFonts w:ascii="Arial" w:hAnsi="Arial" w:cs="Arial"/>
        </w:rPr>
        <w:t>4.4 ± 0.7 (</w:t>
      </w:r>
      <w:r>
        <w:rPr>
          <w:rFonts w:ascii="Arial" w:hAnsi="Arial" w:cs="Arial"/>
        </w:rPr>
        <w:t>40%↓</w:t>
      </w:r>
      <w:r w:rsidRPr="00BE4823">
        <w:rPr>
          <w:rFonts w:ascii="Arial" w:hAnsi="Arial" w:cs="Arial"/>
        </w:rPr>
        <w:t xml:space="preserve">) </w:t>
      </w:r>
    </w:p>
    <w:p w:rsidR="00743188" w:rsidRDefault="00743188" w:rsidP="00743188">
      <w:pPr>
        <w:spacing w:after="0" w:line="360" w:lineRule="auto"/>
        <w:ind w:left="720"/>
        <w:rPr>
          <w:rFonts w:ascii="Arial" w:hAnsi="Arial" w:cs="Arial"/>
        </w:rPr>
      </w:pPr>
      <w:r w:rsidRPr="00BE4823">
        <w:rPr>
          <w:rFonts w:ascii="Arial" w:hAnsi="Arial" w:cs="Arial"/>
        </w:rPr>
        <w:t xml:space="preserve">Experiment 2 - Vehicle Control </w:t>
      </w:r>
      <w:r>
        <w:rPr>
          <w:rFonts w:ascii="Arial" w:hAnsi="Arial" w:cs="Arial"/>
        </w:rPr>
        <w:t xml:space="preserve">- </w:t>
      </w:r>
      <w:r w:rsidRPr="00BE4823">
        <w:rPr>
          <w:rFonts w:ascii="Arial" w:hAnsi="Arial" w:cs="Arial"/>
        </w:rPr>
        <w:t>7.4 ± 1.5; Tamoxifen</w:t>
      </w:r>
      <w:r>
        <w:rPr>
          <w:rFonts w:ascii="Arial" w:hAnsi="Arial" w:cs="Arial"/>
        </w:rPr>
        <w:t>,</w:t>
      </w:r>
      <w:r w:rsidRPr="00BE4823">
        <w:rPr>
          <w:rFonts w:ascii="Arial" w:hAnsi="Arial" w:cs="Arial"/>
        </w:rPr>
        <w:t xml:space="preserve"> 0.66 ppm </w:t>
      </w:r>
      <w:r>
        <w:rPr>
          <w:rFonts w:ascii="Arial" w:hAnsi="Arial" w:cs="Arial"/>
        </w:rPr>
        <w:t xml:space="preserve">- </w:t>
      </w:r>
      <w:r w:rsidRPr="00BE4823">
        <w:rPr>
          <w:rFonts w:ascii="Arial" w:hAnsi="Arial" w:cs="Arial"/>
        </w:rPr>
        <w:t xml:space="preserve">3.6 ± </w:t>
      </w:r>
      <w:r>
        <w:rPr>
          <w:rFonts w:ascii="Arial" w:hAnsi="Arial" w:cs="Arial"/>
        </w:rPr>
        <w:t>0.9 (51%↓),</w:t>
      </w:r>
    </w:p>
    <w:p w:rsidR="00743188" w:rsidRPr="00BE4823" w:rsidRDefault="00743188" w:rsidP="00743188">
      <w:pPr>
        <w:spacing w:after="0" w:line="360" w:lineRule="auto"/>
        <w:ind w:left="720"/>
        <w:rPr>
          <w:rFonts w:ascii="Arial" w:hAnsi="Arial" w:cs="Arial"/>
        </w:rPr>
      </w:pPr>
      <w:r>
        <w:rPr>
          <w:rFonts w:ascii="Arial" w:hAnsi="Arial" w:cs="Arial"/>
        </w:rPr>
        <w:t xml:space="preserve">                        Tamoxifen, 0.13 ppm – 7.2 </w:t>
      </w:r>
      <w:r w:rsidRPr="00BE4823">
        <w:rPr>
          <w:rFonts w:ascii="Arial" w:hAnsi="Arial" w:cs="Arial"/>
        </w:rPr>
        <w:t>± 1.3 (</w:t>
      </w:r>
      <w:r>
        <w:rPr>
          <w:rFonts w:ascii="Arial" w:hAnsi="Arial" w:cs="Arial"/>
        </w:rPr>
        <w:t>3%↓</w:t>
      </w:r>
      <w:r w:rsidRPr="00BE4823">
        <w:rPr>
          <w:rFonts w:ascii="Arial" w:hAnsi="Arial" w:cs="Arial"/>
        </w:rPr>
        <w:t>)</w:t>
      </w:r>
    </w:p>
    <w:p w:rsidR="00743188" w:rsidRDefault="00743188" w:rsidP="00743188">
      <w:pPr>
        <w:spacing w:after="0" w:line="360" w:lineRule="auto"/>
        <w:rPr>
          <w:rFonts w:ascii="Arial" w:hAnsi="Arial" w:cs="Arial"/>
        </w:rPr>
      </w:pPr>
      <w:r w:rsidRPr="00BE4823">
        <w:rPr>
          <w:rFonts w:ascii="Arial" w:hAnsi="Arial" w:cs="Arial"/>
        </w:rPr>
        <w:t xml:space="preserve">            Experiment 3 - Vehicle Control</w:t>
      </w:r>
      <w:r>
        <w:rPr>
          <w:rFonts w:ascii="Arial" w:hAnsi="Arial" w:cs="Arial"/>
        </w:rPr>
        <w:t xml:space="preserve"> - </w:t>
      </w:r>
      <w:r w:rsidRPr="00BE4823">
        <w:rPr>
          <w:rFonts w:ascii="Arial" w:hAnsi="Arial" w:cs="Arial"/>
        </w:rPr>
        <w:t>3.9 ± 0.9; Tamoxifen</w:t>
      </w:r>
      <w:r>
        <w:rPr>
          <w:rFonts w:ascii="Arial" w:hAnsi="Arial" w:cs="Arial"/>
        </w:rPr>
        <w:t>,</w:t>
      </w:r>
      <w:r w:rsidRPr="00BE4823">
        <w:rPr>
          <w:rFonts w:ascii="Arial" w:hAnsi="Arial" w:cs="Arial"/>
        </w:rPr>
        <w:t xml:space="preserve"> 0.0.4 ppm </w:t>
      </w:r>
      <w:r>
        <w:rPr>
          <w:rFonts w:ascii="Arial" w:hAnsi="Arial" w:cs="Arial"/>
        </w:rPr>
        <w:t xml:space="preserve">- </w:t>
      </w:r>
      <w:r w:rsidRPr="00BE4823">
        <w:rPr>
          <w:rFonts w:ascii="Arial" w:hAnsi="Arial" w:cs="Arial"/>
        </w:rPr>
        <w:t>2.7. ± 0</w:t>
      </w:r>
      <w:r>
        <w:rPr>
          <w:rFonts w:ascii="Arial" w:hAnsi="Arial" w:cs="Arial"/>
        </w:rPr>
        <w:t>.</w:t>
      </w:r>
      <w:r w:rsidRPr="00BE4823">
        <w:rPr>
          <w:rFonts w:ascii="Arial" w:hAnsi="Arial" w:cs="Arial"/>
        </w:rPr>
        <w:t>6 (.</w:t>
      </w:r>
      <w:r>
        <w:rPr>
          <w:rFonts w:ascii="Arial" w:hAnsi="Arial" w:cs="Arial"/>
        </w:rPr>
        <w:t>31%↓</w:t>
      </w:r>
      <w:r w:rsidRPr="00BE4823">
        <w:rPr>
          <w:rFonts w:ascii="Arial" w:hAnsi="Arial" w:cs="Arial"/>
        </w:rPr>
        <w:t xml:space="preserve">) </w:t>
      </w:r>
    </w:p>
    <w:p w:rsidR="00743188" w:rsidRPr="00BE4823" w:rsidRDefault="00743188" w:rsidP="00743188">
      <w:pPr>
        <w:spacing w:after="0" w:line="360" w:lineRule="auto"/>
        <w:rPr>
          <w:rFonts w:ascii="Arial" w:hAnsi="Arial" w:cs="Arial"/>
        </w:rPr>
      </w:pPr>
    </w:p>
    <w:p w:rsidR="00743188" w:rsidRPr="00BE4823" w:rsidRDefault="00743188" w:rsidP="00743188">
      <w:pPr>
        <w:spacing w:after="0" w:line="360" w:lineRule="auto"/>
        <w:ind w:left="720"/>
        <w:rPr>
          <w:rFonts w:ascii="Arial" w:hAnsi="Arial" w:cs="Arial"/>
          <w:b/>
          <w:u w:val="single"/>
        </w:rPr>
      </w:pPr>
      <w:r w:rsidRPr="00BE4823">
        <w:rPr>
          <w:rFonts w:ascii="Arial" w:hAnsi="Arial" w:cs="Arial"/>
          <w:b/>
          <w:u w:val="single"/>
        </w:rPr>
        <w:t xml:space="preserve">Gefitinib </w:t>
      </w:r>
    </w:p>
    <w:p w:rsidR="00743188" w:rsidRPr="00BE4823" w:rsidRDefault="00743188" w:rsidP="00743188">
      <w:pPr>
        <w:spacing w:after="0" w:line="360" w:lineRule="auto"/>
        <w:ind w:left="720"/>
        <w:rPr>
          <w:rFonts w:ascii="Arial" w:hAnsi="Arial" w:cs="Arial"/>
        </w:rPr>
      </w:pPr>
      <w:r w:rsidRPr="00BE4823">
        <w:rPr>
          <w:rFonts w:ascii="Arial" w:hAnsi="Arial" w:cs="Arial"/>
        </w:rPr>
        <w:t xml:space="preserve">Experiment 1 - Vehicle Control </w:t>
      </w:r>
      <w:r>
        <w:rPr>
          <w:rFonts w:ascii="Arial" w:hAnsi="Arial" w:cs="Arial"/>
        </w:rPr>
        <w:t xml:space="preserve">- </w:t>
      </w:r>
      <w:r w:rsidRPr="00BE4823">
        <w:rPr>
          <w:rFonts w:ascii="Arial" w:hAnsi="Arial" w:cs="Arial"/>
        </w:rPr>
        <w:t>4.1 ± 0.6; Gefitinib</w:t>
      </w:r>
      <w:r>
        <w:rPr>
          <w:rFonts w:ascii="Arial" w:hAnsi="Arial" w:cs="Arial"/>
        </w:rPr>
        <w:t>,</w:t>
      </w:r>
      <w:r w:rsidRPr="00BE4823">
        <w:rPr>
          <w:rFonts w:ascii="Arial" w:hAnsi="Arial" w:cs="Arial"/>
        </w:rPr>
        <w:t xml:space="preserve"> 3.0 mg/Kg</w:t>
      </w:r>
      <w:r>
        <w:rPr>
          <w:rFonts w:ascii="Arial" w:hAnsi="Arial" w:cs="Arial"/>
        </w:rPr>
        <w:t xml:space="preserve"> BW</w:t>
      </w:r>
      <w:r w:rsidRPr="00BE4823">
        <w:rPr>
          <w:rFonts w:ascii="Arial" w:hAnsi="Arial" w:cs="Arial"/>
        </w:rPr>
        <w:t xml:space="preserve"> </w:t>
      </w:r>
      <w:r>
        <w:rPr>
          <w:rFonts w:ascii="Arial" w:hAnsi="Arial" w:cs="Arial"/>
        </w:rPr>
        <w:t xml:space="preserve">- </w:t>
      </w:r>
      <w:r w:rsidRPr="00BE4823">
        <w:rPr>
          <w:rFonts w:ascii="Arial" w:hAnsi="Arial" w:cs="Arial"/>
        </w:rPr>
        <w:t>1.9 ± 0.4 (</w:t>
      </w:r>
      <w:r>
        <w:rPr>
          <w:rFonts w:ascii="Arial" w:hAnsi="Arial" w:cs="Arial"/>
        </w:rPr>
        <w:t>54%↓</w:t>
      </w:r>
      <w:r w:rsidRPr="00BE4823">
        <w:rPr>
          <w:rFonts w:ascii="Arial" w:hAnsi="Arial" w:cs="Arial"/>
        </w:rPr>
        <w:t xml:space="preserve">) </w:t>
      </w:r>
    </w:p>
    <w:p w:rsidR="00743188" w:rsidRPr="00BE4823" w:rsidRDefault="00743188" w:rsidP="00743188">
      <w:pPr>
        <w:spacing w:after="0" w:line="360" w:lineRule="auto"/>
        <w:ind w:left="720"/>
        <w:rPr>
          <w:rFonts w:ascii="Arial" w:hAnsi="Arial" w:cs="Arial"/>
        </w:rPr>
      </w:pPr>
      <w:r w:rsidRPr="00BE4823">
        <w:rPr>
          <w:rFonts w:ascii="Arial" w:hAnsi="Arial" w:cs="Arial"/>
        </w:rPr>
        <w:t xml:space="preserve">Experiment 2 - Vehicle Control </w:t>
      </w:r>
      <w:r>
        <w:rPr>
          <w:rFonts w:ascii="Arial" w:hAnsi="Arial" w:cs="Arial"/>
        </w:rPr>
        <w:t xml:space="preserve">- </w:t>
      </w:r>
      <w:r w:rsidRPr="00BE4823">
        <w:rPr>
          <w:rFonts w:ascii="Arial" w:hAnsi="Arial" w:cs="Arial"/>
        </w:rPr>
        <w:t>5.2</w:t>
      </w:r>
      <w:r>
        <w:rPr>
          <w:rFonts w:ascii="Arial" w:hAnsi="Arial" w:cs="Arial"/>
        </w:rPr>
        <w:t xml:space="preserve"> </w:t>
      </w:r>
      <w:r w:rsidRPr="00BE4823">
        <w:rPr>
          <w:rFonts w:ascii="Arial" w:hAnsi="Arial" w:cs="Arial"/>
        </w:rPr>
        <w:t>± 0.7; Gefitinib</w:t>
      </w:r>
      <w:r>
        <w:rPr>
          <w:rFonts w:ascii="Arial" w:hAnsi="Arial" w:cs="Arial"/>
        </w:rPr>
        <w:t>,</w:t>
      </w:r>
      <w:r w:rsidRPr="00BE4823">
        <w:rPr>
          <w:rFonts w:ascii="Arial" w:hAnsi="Arial" w:cs="Arial"/>
        </w:rPr>
        <w:t xml:space="preserve"> 2.0 mg/Kg</w:t>
      </w:r>
      <w:r>
        <w:rPr>
          <w:rFonts w:ascii="Arial" w:hAnsi="Arial" w:cs="Arial"/>
        </w:rPr>
        <w:t xml:space="preserve"> BW</w:t>
      </w:r>
      <w:r w:rsidRPr="00BE4823">
        <w:rPr>
          <w:rFonts w:ascii="Arial" w:hAnsi="Arial" w:cs="Arial"/>
        </w:rPr>
        <w:t xml:space="preserve"> </w:t>
      </w:r>
      <w:r>
        <w:rPr>
          <w:rFonts w:ascii="Arial" w:hAnsi="Arial" w:cs="Arial"/>
        </w:rPr>
        <w:t xml:space="preserve">- </w:t>
      </w:r>
      <w:r w:rsidRPr="00BE4823">
        <w:rPr>
          <w:rFonts w:ascii="Arial" w:hAnsi="Arial" w:cs="Arial"/>
        </w:rPr>
        <w:t>2.6± 0.3 (50</w:t>
      </w:r>
      <w:r>
        <w:rPr>
          <w:rFonts w:ascii="Arial" w:hAnsi="Arial" w:cs="Arial"/>
        </w:rPr>
        <w:t>%↓</w:t>
      </w:r>
      <w:r w:rsidRPr="00BE4823">
        <w:rPr>
          <w:rFonts w:ascii="Arial" w:hAnsi="Arial" w:cs="Arial"/>
        </w:rPr>
        <w:t>)</w:t>
      </w:r>
    </w:p>
    <w:p w:rsidR="00743188" w:rsidRPr="00BE4823" w:rsidRDefault="00743188" w:rsidP="00743188">
      <w:pPr>
        <w:spacing w:line="240" w:lineRule="auto"/>
        <w:ind w:left="720"/>
        <w:rPr>
          <w:rFonts w:ascii="Arial" w:hAnsi="Arial" w:cs="Arial"/>
        </w:rPr>
      </w:pPr>
    </w:p>
    <w:p w:rsidR="00743188" w:rsidRPr="002A2865" w:rsidRDefault="00743188" w:rsidP="00743188">
      <w:pPr>
        <w:spacing w:line="240" w:lineRule="auto"/>
        <w:ind w:left="720"/>
        <w:rPr>
          <w:rFonts w:ascii="Arial" w:hAnsi="Arial" w:cs="Arial"/>
          <w:u w:val="single"/>
        </w:rPr>
      </w:pPr>
      <w:r w:rsidRPr="002A2865">
        <w:rPr>
          <w:rFonts w:ascii="Arial" w:hAnsi="Arial" w:cs="Arial"/>
          <w:u w:val="single"/>
        </w:rPr>
        <w:t>Urinary Bladder Cancers</w:t>
      </w:r>
    </w:p>
    <w:p w:rsidR="00743188" w:rsidRPr="00BE4823" w:rsidRDefault="00743188" w:rsidP="00743188">
      <w:pPr>
        <w:spacing w:line="240" w:lineRule="auto"/>
        <w:ind w:left="720"/>
        <w:rPr>
          <w:rFonts w:ascii="Arial" w:hAnsi="Arial" w:cs="Arial"/>
        </w:rPr>
      </w:pPr>
      <w:r w:rsidRPr="002A2865">
        <w:rPr>
          <w:rFonts w:ascii="Arial" w:hAnsi="Arial" w:cs="Arial"/>
          <w:b/>
        </w:rPr>
        <w:t>Naproxen</w:t>
      </w:r>
      <w:r w:rsidRPr="00BE4823">
        <w:rPr>
          <w:rFonts w:ascii="Arial" w:hAnsi="Arial" w:cs="Arial"/>
        </w:rPr>
        <w:t xml:space="preserve"> </w:t>
      </w:r>
      <w:r>
        <w:rPr>
          <w:rFonts w:ascii="Arial" w:hAnsi="Arial" w:cs="Arial"/>
        </w:rPr>
        <w:t>(</w:t>
      </w:r>
      <w:r w:rsidRPr="00BE4823">
        <w:rPr>
          <w:rFonts w:ascii="Arial" w:hAnsi="Arial" w:cs="Arial"/>
        </w:rPr>
        <w:t>30-40 mg</w:t>
      </w:r>
      <w:r>
        <w:rPr>
          <w:rFonts w:ascii="Arial" w:hAnsi="Arial" w:cs="Arial"/>
        </w:rPr>
        <w:t xml:space="preserve"> </w:t>
      </w:r>
      <w:r w:rsidRPr="00BE4823">
        <w:rPr>
          <w:rFonts w:ascii="Arial" w:hAnsi="Arial" w:cs="Arial"/>
        </w:rPr>
        <w:t>Kg</w:t>
      </w:r>
      <w:r>
        <w:rPr>
          <w:rFonts w:ascii="Arial" w:hAnsi="Arial" w:cs="Arial"/>
        </w:rPr>
        <w:t xml:space="preserve"> </w:t>
      </w:r>
      <w:r w:rsidRPr="00BE4823">
        <w:rPr>
          <w:rFonts w:ascii="Arial" w:hAnsi="Arial" w:cs="Arial"/>
        </w:rPr>
        <w:t>BW i.g</w:t>
      </w:r>
      <w:r>
        <w:rPr>
          <w:rFonts w:ascii="Arial" w:hAnsi="Arial" w:cs="Arial"/>
        </w:rPr>
        <w:t>)</w:t>
      </w:r>
      <w:r w:rsidRPr="00BE4823">
        <w:rPr>
          <w:rFonts w:ascii="Arial" w:hAnsi="Arial" w:cs="Arial"/>
        </w:rPr>
        <w:t xml:space="preserve">.  </w:t>
      </w:r>
    </w:p>
    <w:p w:rsidR="00743188" w:rsidRPr="00BE4823" w:rsidRDefault="00743188" w:rsidP="00743188">
      <w:pPr>
        <w:spacing w:after="0" w:line="240" w:lineRule="auto"/>
        <w:ind w:left="720"/>
        <w:rPr>
          <w:rFonts w:ascii="Arial" w:hAnsi="Arial" w:cs="Arial"/>
        </w:rPr>
      </w:pPr>
      <w:r w:rsidRPr="00BE4823">
        <w:rPr>
          <w:rFonts w:ascii="Arial" w:hAnsi="Arial" w:cs="Arial"/>
        </w:rPr>
        <w:t>Experiment 1 - Vehicle Control</w:t>
      </w:r>
      <w:r>
        <w:rPr>
          <w:rFonts w:ascii="Arial" w:hAnsi="Arial" w:cs="Arial"/>
        </w:rPr>
        <w:t xml:space="preserve"> - </w:t>
      </w:r>
      <w:r w:rsidRPr="00BE4823">
        <w:rPr>
          <w:rFonts w:ascii="Arial" w:hAnsi="Arial" w:cs="Arial"/>
        </w:rPr>
        <w:t xml:space="preserve">19/27 (70% of rats with </w:t>
      </w:r>
      <w:r>
        <w:rPr>
          <w:rFonts w:ascii="Arial" w:hAnsi="Arial" w:cs="Arial"/>
        </w:rPr>
        <w:t>l</w:t>
      </w:r>
      <w:r w:rsidRPr="00BE4823">
        <w:rPr>
          <w:rFonts w:ascii="Arial" w:hAnsi="Arial" w:cs="Arial"/>
        </w:rPr>
        <w:t xml:space="preserve">arge tumors </w:t>
      </w:r>
      <w:r>
        <w:rPr>
          <w:rFonts w:ascii="Arial" w:hAnsi="Arial" w:cs="Arial"/>
        </w:rPr>
        <w:t>(</w:t>
      </w:r>
      <w:r w:rsidRPr="00BE4823">
        <w:rPr>
          <w:rFonts w:ascii="Arial" w:hAnsi="Arial" w:cs="Arial"/>
        </w:rPr>
        <w:t>&gt;200 mg) and an average bladder weight of 344 mg</w:t>
      </w:r>
      <w:r>
        <w:rPr>
          <w:rFonts w:ascii="Arial" w:hAnsi="Arial" w:cs="Arial"/>
        </w:rPr>
        <w:t>.</w:t>
      </w:r>
      <w:r w:rsidRPr="00BE4823">
        <w:rPr>
          <w:rFonts w:ascii="Arial" w:hAnsi="Arial" w:cs="Arial"/>
        </w:rPr>
        <w:t xml:space="preserve">  Naproxen (40 mg/Kg BW)</w:t>
      </w:r>
      <w:r>
        <w:rPr>
          <w:rFonts w:ascii="Arial" w:hAnsi="Arial" w:cs="Arial"/>
        </w:rPr>
        <w:t xml:space="preserve"> - 8</w:t>
      </w:r>
      <w:r w:rsidRPr="00BE4823">
        <w:rPr>
          <w:rFonts w:ascii="Arial" w:hAnsi="Arial" w:cs="Arial"/>
        </w:rPr>
        <w:t xml:space="preserve">/30 (27% of rats with large tumors) and an average weight of 209 mg (40% </w:t>
      </w:r>
      <w:r>
        <w:rPr>
          <w:rFonts w:ascii="Arial" w:hAnsi="Arial" w:cs="Arial"/>
        </w:rPr>
        <w:t>↓</w:t>
      </w:r>
      <w:r w:rsidRPr="00BE4823">
        <w:rPr>
          <w:rFonts w:ascii="Arial" w:hAnsi="Arial" w:cs="Arial"/>
        </w:rPr>
        <w:t>)</w:t>
      </w:r>
      <w:r>
        <w:rPr>
          <w:rFonts w:ascii="Arial" w:hAnsi="Arial" w:cs="Arial"/>
        </w:rPr>
        <w:t>.</w:t>
      </w:r>
    </w:p>
    <w:p w:rsidR="00743188" w:rsidRPr="00BE4823" w:rsidRDefault="00743188" w:rsidP="00743188">
      <w:pPr>
        <w:spacing w:after="0" w:line="240" w:lineRule="auto"/>
        <w:ind w:left="720"/>
        <w:rPr>
          <w:rFonts w:ascii="Arial" w:hAnsi="Arial" w:cs="Arial"/>
        </w:rPr>
      </w:pPr>
    </w:p>
    <w:p w:rsidR="00743188" w:rsidRDefault="00743188" w:rsidP="00743188">
      <w:pPr>
        <w:spacing w:after="0" w:line="240" w:lineRule="auto"/>
        <w:ind w:left="720"/>
        <w:rPr>
          <w:rFonts w:ascii="Arial" w:hAnsi="Arial" w:cs="Arial"/>
        </w:rPr>
      </w:pPr>
      <w:r w:rsidRPr="00BE4823">
        <w:rPr>
          <w:rFonts w:ascii="Arial" w:hAnsi="Arial" w:cs="Arial"/>
        </w:rPr>
        <w:t>Experiment 2 - Vehicle Control</w:t>
      </w:r>
      <w:r>
        <w:rPr>
          <w:rFonts w:ascii="Arial" w:hAnsi="Arial" w:cs="Arial"/>
        </w:rPr>
        <w:t xml:space="preserve"> - </w:t>
      </w:r>
      <w:r w:rsidRPr="00BE4823">
        <w:rPr>
          <w:rFonts w:ascii="Arial" w:hAnsi="Arial" w:cs="Arial"/>
        </w:rPr>
        <w:t xml:space="preserve">24/35 (69% of rats with </w:t>
      </w:r>
      <w:r>
        <w:rPr>
          <w:rFonts w:ascii="Arial" w:hAnsi="Arial" w:cs="Arial"/>
        </w:rPr>
        <w:t>l</w:t>
      </w:r>
      <w:r w:rsidRPr="00BE4823">
        <w:rPr>
          <w:rFonts w:ascii="Arial" w:hAnsi="Arial" w:cs="Arial"/>
        </w:rPr>
        <w:t xml:space="preserve">arge tumors </w:t>
      </w:r>
      <w:r>
        <w:rPr>
          <w:rFonts w:ascii="Arial" w:hAnsi="Arial" w:cs="Arial"/>
        </w:rPr>
        <w:t>(</w:t>
      </w:r>
      <w:r w:rsidRPr="00BE4823">
        <w:rPr>
          <w:rFonts w:ascii="Arial" w:hAnsi="Arial" w:cs="Arial"/>
        </w:rPr>
        <w:t>&gt;200 mg) and an average bladder weight of 356 mg</w:t>
      </w:r>
      <w:r>
        <w:rPr>
          <w:rFonts w:ascii="Arial" w:hAnsi="Arial" w:cs="Arial"/>
        </w:rPr>
        <w:t>.</w:t>
      </w:r>
      <w:r w:rsidRPr="00BE4823">
        <w:rPr>
          <w:rFonts w:ascii="Arial" w:hAnsi="Arial" w:cs="Arial"/>
        </w:rPr>
        <w:t xml:space="preserve">  Naproxen Control (30 mg/Kg BW)</w:t>
      </w:r>
      <w:r>
        <w:rPr>
          <w:rFonts w:ascii="Arial" w:hAnsi="Arial" w:cs="Arial"/>
        </w:rPr>
        <w:t xml:space="preserve"> -</w:t>
      </w:r>
      <w:r w:rsidRPr="00BE4823">
        <w:rPr>
          <w:rFonts w:ascii="Arial" w:hAnsi="Arial" w:cs="Arial"/>
        </w:rPr>
        <w:t xml:space="preserve"> 7/30 (23% of rats with large tumors) and an average weight of 185 mg (48% </w:t>
      </w:r>
      <w:r>
        <w:rPr>
          <w:rFonts w:ascii="Arial" w:hAnsi="Arial" w:cs="Arial"/>
        </w:rPr>
        <w:t>↓</w:t>
      </w:r>
      <w:r w:rsidRPr="00BE4823">
        <w:rPr>
          <w:rFonts w:ascii="Arial" w:hAnsi="Arial" w:cs="Arial"/>
        </w:rPr>
        <w:t>)</w:t>
      </w:r>
      <w:r>
        <w:rPr>
          <w:rFonts w:ascii="Arial" w:hAnsi="Arial" w:cs="Arial"/>
        </w:rPr>
        <w:t>.</w:t>
      </w:r>
    </w:p>
    <w:p w:rsidR="00743188" w:rsidRPr="00BE4823" w:rsidRDefault="00743188" w:rsidP="00743188">
      <w:pPr>
        <w:spacing w:after="0" w:line="240" w:lineRule="auto"/>
        <w:ind w:left="720"/>
        <w:rPr>
          <w:rFonts w:ascii="Arial" w:hAnsi="Arial" w:cs="Arial"/>
        </w:rPr>
      </w:pPr>
    </w:p>
    <w:p w:rsidR="00743188" w:rsidRDefault="00743188" w:rsidP="00743188">
      <w:pPr>
        <w:spacing w:after="0" w:line="240" w:lineRule="auto"/>
        <w:ind w:left="720"/>
        <w:rPr>
          <w:rFonts w:ascii="Arial" w:hAnsi="Arial" w:cs="Arial"/>
        </w:rPr>
      </w:pPr>
      <w:r w:rsidRPr="00BE4823">
        <w:rPr>
          <w:rFonts w:ascii="Arial" w:hAnsi="Arial" w:cs="Arial"/>
        </w:rPr>
        <w:t>Experiment 3 - Vehicle Control</w:t>
      </w:r>
      <w:r>
        <w:rPr>
          <w:rFonts w:ascii="Arial" w:hAnsi="Arial" w:cs="Arial"/>
        </w:rPr>
        <w:t xml:space="preserve"> -</w:t>
      </w:r>
      <w:r w:rsidRPr="00BE4823">
        <w:rPr>
          <w:rFonts w:ascii="Arial" w:hAnsi="Arial" w:cs="Arial"/>
        </w:rPr>
        <w:t xml:space="preserve"> 24/25 (96% of rats with </w:t>
      </w:r>
      <w:r>
        <w:rPr>
          <w:rFonts w:ascii="Arial" w:hAnsi="Arial" w:cs="Arial"/>
        </w:rPr>
        <w:t>l</w:t>
      </w:r>
      <w:r w:rsidRPr="00BE4823">
        <w:rPr>
          <w:rFonts w:ascii="Arial" w:hAnsi="Arial" w:cs="Arial"/>
        </w:rPr>
        <w:t>arge tumors &gt;200 mg) and an average bladder weight of 408 mg</w:t>
      </w:r>
      <w:r>
        <w:rPr>
          <w:rFonts w:ascii="Arial" w:hAnsi="Arial" w:cs="Arial"/>
        </w:rPr>
        <w:t>.</w:t>
      </w:r>
      <w:r w:rsidRPr="00BE4823">
        <w:rPr>
          <w:rFonts w:ascii="Arial" w:hAnsi="Arial" w:cs="Arial"/>
        </w:rPr>
        <w:t xml:space="preserve">  Naproxen </w:t>
      </w:r>
      <w:r>
        <w:rPr>
          <w:rFonts w:ascii="Arial" w:hAnsi="Arial" w:cs="Arial"/>
        </w:rPr>
        <w:t>c</w:t>
      </w:r>
      <w:r w:rsidRPr="00BE4823">
        <w:rPr>
          <w:rFonts w:ascii="Arial" w:hAnsi="Arial" w:cs="Arial"/>
        </w:rPr>
        <w:t xml:space="preserve">ontrol (30 mg/Kg BW) </w:t>
      </w:r>
      <w:r>
        <w:rPr>
          <w:rFonts w:ascii="Arial" w:hAnsi="Arial" w:cs="Arial"/>
        </w:rPr>
        <w:t xml:space="preserve">- </w:t>
      </w:r>
      <w:r w:rsidRPr="00BE4823">
        <w:rPr>
          <w:rFonts w:ascii="Arial" w:hAnsi="Arial" w:cs="Arial"/>
        </w:rPr>
        <w:t>9/25 (36% of rats with large tumors) and an average weight of 210 mg (48%</w:t>
      </w:r>
      <w:r>
        <w:rPr>
          <w:rFonts w:ascii="Arial" w:hAnsi="Arial" w:cs="Arial"/>
        </w:rPr>
        <w:t>↓</w:t>
      </w:r>
      <w:r w:rsidRPr="00BE4823">
        <w:rPr>
          <w:rFonts w:ascii="Arial" w:hAnsi="Arial" w:cs="Arial"/>
        </w:rPr>
        <w:t>)</w:t>
      </w:r>
      <w:r>
        <w:rPr>
          <w:rFonts w:ascii="Arial" w:hAnsi="Arial" w:cs="Arial"/>
        </w:rPr>
        <w:t>.</w:t>
      </w:r>
      <w:bookmarkStart w:id="0" w:name="_GoBack"/>
      <w:bookmarkEnd w:id="0"/>
    </w:p>
    <w:sectPr w:rsidR="0074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76"/>
    <w:multiLevelType w:val="hybridMultilevel"/>
    <w:tmpl w:val="A3C8E2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88"/>
    <w:rsid w:val="003776BB"/>
    <w:rsid w:val="00743188"/>
    <w:rsid w:val="00C325DB"/>
    <w:rsid w:val="00D50B99"/>
    <w:rsid w:val="00D7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50812-7DD6-4384-84ED-BF8BA2AC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188"/>
    <w:rPr>
      <w:rFonts w:ascii="Calibri" w:eastAsia="Times New Roman"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43188"/>
    <w:pPr>
      <w:spacing w:line="240" w:lineRule="auto"/>
    </w:pPr>
    <w:rPr>
      <w:noProof/>
    </w:rPr>
  </w:style>
  <w:style w:type="character" w:customStyle="1" w:styleId="EndNoteBibliographyChar">
    <w:name w:val="EndNote Bibliography Char"/>
    <w:link w:val="EndNoteBibliography"/>
    <w:rsid w:val="00743188"/>
    <w:rPr>
      <w:rFonts w:ascii="Calibri" w:eastAsia="Times New Roman" w:hAnsi="Calibri" w:cs="Calibri"/>
      <w:noProof/>
      <w:color w:val="000000"/>
    </w:rPr>
  </w:style>
  <w:style w:type="paragraph" w:styleId="ListParagraph">
    <w:name w:val="List Paragraph"/>
    <w:basedOn w:val="Normal"/>
    <w:uiPriority w:val="34"/>
    <w:qFormat/>
    <w:rsid w:val="0074318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 Cagle</dc:creator>
  <cp:keywords/>
  <dc:description/>
  <cp:lastModifiedBy>Marie Jo Cagle</cp:lastModifiedBy>
  <cp:revision>1</cp:revision>
  <dcterms:created xsi:type="dcterms:W3CDTF">2018-03-15T13:37:00Z</dcterms:created>
  <dcterms:modified xsi:type="dcterms:W3CDTF">2018-03-15T13:38:00Z</dcterms:modified>
</cp:coreProperties>
</file>