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8145" w14:textId="6B95523E" w:rsidR="00660C45" w:rsidRDefault="00660C45" w:rsidP="00660C45">
      <w:pPr>
        <w:pStyle w:val="Heading1"/>
        <w:suppressLineNumbers/>
      </w:pPr>
      <w:r>
        <w:t>Supplementary Data</w:t>
      </w:r>
    </w:p>
    <w:p w14:paraId="7FBDEB6F" w14:textId="67B7C552" w:rsidR="00660C45" w:rsidRDefault="00660C45" w:rsidP="00660C45">
      <w:pPr>
        <w:pStyle w:val="Heading1"/>
        <w:suppressLineNumbers/>
      </w:pPr>
      <w:r w:rsidRPr="00960B68">
        <w:rPr>
          <w:sz w:val="24"/>
          <w:szCs w:val="24"/>
          <w:lang w:val="en-GB"/>
        </w:rPr>
        <w:t xml:space="preserve">Supplementary figures S1-S6, Supplementary </w:t>
      </w:r>
      <w:r>
        <w:rPr>
          <w:sz w:val="24"/>
          <w:szCs w:val="24"/>
          <w:lang w:val="en-GB"/>
        </w:rPr>
        <w:t>T</w:t>
      </w:r>
      <w:r w:rsidRPr="00960B68">
        <w:rPr>
          <w:sz w:val="24"/>
          <w:szCs w:val="24"/>
          <w:lang w:val="en-GB"/>
        </w:rPr>
        <w:t xml:space="preserve">ables </w:t>
      </w:r>
      <w:r>
        <w:rPr>
          <w:sz w:val="24"/>
          <w:szCs w:val="24"/>
          <w:lang w:val="en-GB"/>
        </w:rPr>
        <w:t>S</w:t>
      </w:r>
      <w:r w:rsidR="009852BC">
        <w:rPr>
          <w:sz w:val="24"/>
          <w:szCs w:val="24"/>
          <w:lang w:val="en-GB"/>
        </w:rPr>
        <w:t xml:space="preserve">1 and </w:t>
      </w:r>
      <w:r>
        <w:rPr>
          <w:sz w:val="24"/>
          <w:szCs w:val="24"/>
          <w:lang w:val="en-GB"/>
        </w:rPr>
        <w:t>S</w:t>
      </w:r>
      <w:r w:rsidRPr="00960B68">
        <w:rPr>
          <w:sz w:val="24"/>
          <w:szCs w:val="24"/>
          <w:lang w:val="en-GB"/>
        </w:rPr>
        <w:t>3</w:t>
      </w:r>
      <w:r w:rsidR="00D574F5">
        <w:rPr>
          <w:sz w:val="24"/>
          <w:szCs w:val="24"/>
          <w:lang w:val="en-GB"/>
        </w:rPr>
        <w:t>,</w:t>
      </w:r>
      <w:r w:rsidRPr="00960B68">
        <w:rPr>
          <w:sz w:val="24"/>
          <w:szCs w:val="24"/>
          <w:lang w:val="en-GB"/>
        </w:rPr>
        <w:t xml:space="preserve"> and</w:t>
      </w:r>
      <w:r>
        <w:rPr>
          <w:sz w:val="24"/>
          <w:szCs w:val="24"/>
          <w:lang w:val="en-GB"/>
        </w:rPr>
        <w:t xml:space="preserve"> uncropped western blot images.</w:t>
      </w:r>
      <w:r>
        <w:br w:type="page"/>
      </w:r>
    </w:p>
    <w:p w14:paraId="33FE0A72" w14:textId="77777777" w:rsidR="00660C45" w:rsidRDefault="00660C45" w:rsidP="00660C45">
      <w:pPr>
        <w:pStyle w:val="Heading5"/>
        <w:suppressLineNumbers/>
        <w:spacing w:line="276" w:lineRule="auto"/>
        <w:rPr>
          <w:sz w:val="18"/>
          <w:szCs w:val="18"/>
        </w:rPr>
      </w:pPr>
      <w:r>
        <w:rPr>
          <w:b/>
          <w:noProof/>
          <w:color w:val="000000"/>
          <w:sz w:val="18"/>
          <w:szCs w:val="18"/>
        </w:rPr>
        <w:lastRenderedPageBreak/>
        <w:drawing>
          <wp:inline distT="0" distB="0" distL="0" distR="0" wp14:anchorId="6AA521E1" wp14:editId="5C11AFFA">
            <wp:extent cx="6298565" cy="4281170"/>
            <wp:effectExtent l="0" t="0" r="6985" b="508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8565" cy="4281170"/>
                    </a:xfrm>
                    <a:prstGeom prst="rect">
                      <a:avLst/>
                    </a:prstGeom>
                  </pic:spPr>
                </pic:pic>
              </a:graphicData>
            </a:graphic>
          </wp:inline>
        </w:drawing>
      </w:r>
      <w:r>
        <w:rPr>
          <w:b/>
          <w:color w:val="000000"/>
          <w:sz w:val="18"/>
          <w:szCs w:val="18"/>
        </w:rPr>
        <w:t>Figur</w:t>
      </w:r>
      <w:r w:rsidRPr="00B124B2">
        <w:rPr>
          <w:b/>
          <w:color w:val="000000"/>
          <w:sz w:val="18"/>
          <w:szCs w:val="18"/>
        </w:rPr>
        <w:t>e S1. NO production and nitric oxide synthase expression in CD8</w:t>
      </w:r>
      <w:r w:rsidRPr="00B124B2">
        <w:rPr>
          <w:b/>
          <w:color w:val="000000"/>
          <w:sz w:val="18"/>
          <w:szCs w:val="18"/>
          <w:vertAlign w:val="superscript"/>
        </w:rPr>
        <w:t>+</w:t>
      </w:r>
      <w:r w:rsidRPr="00B124B2">
        <w:rPr>
          <w:b/>
          <w:color w:val="000000"/>
          <w:sz w:val="18"/>
          <w:szCs w:val="18"/>
        </w:rPr>
        <w:t xml:space="preserve"> T cells (continued from Fig. 1)</w:t>
      </w:r>
      <w:r w:rsidRPr="00B124B2">
        <w:rPr>
          <w:color w:val="000000" w:themeColor="text1"/>
          <w:sz w:val="18"/>
          <w:szCs w:val="18"/>
        </w:rPr>
        <w:t xml:space="preserve">. </w:t>
      </w:r>
      <w:r w:rsidRPr="00B124B2">
        <w:rPr>
          <w:b/>
          <w:bCs/>
          <w:color w:val="000000" w:themeColor="text1"/>
          <w:sz w:val="18"/>
          <w:szCs w:val="18"/>
        </w:rPr>
        <w:t>(A)</w:t>
      </w:r>
      <w:r w:rsidRPr="00B124B2">
        <w:rPr>
          <w:color w:val="000000" w:themeColor="text1"/>
          <w:sz w:val="18"/>
          <w:szCs w:val="18"/>
        </w:rPr>
        <w:t xml:space="preserve"> NO production determined by quantification of nitrites in T cell media conditioned by mouse CD8</w:t>
      </w:r>
      <w:r w:rsidRPr="00B124B2">
        <w:rPr>
          <w:color w:val="000000" w:themeColor="text1"/>
          <w:sz w:val="18"/>
          <w:szCs w:val="18"/>
          <w:vertAlign w:val="superscript"/>
        </w:rPr>
        <w:t>+</w:t>
      </w:r>
      <w:r w:rsidRPr="00B124B2">
        <w:rPr>
          <w:color w:val="000000" w:themeColor="text1"/>
          <w:sz w:val="18"/>
          <w:szCs w:val="18"/>
        </w:rPr>
        <w:t xml:space="preserve"> T cells before activation (day 0) or 2 and 5 days after activation with anti-CD3/CD28 dynabeads in 5% O</w:t>
      </w:r>
      <w:r w:rsidRPr="00B124B2">
        <w:rPr>
          <w:color w:val="000000" w:themeColor="text1"/>
          <w:sz w:val="18"/>
          <w:szCs w:val="18"/>
          <w:vertAlign w:val="subscript"/>
        </w:rPr>
        <w:t>2</w:t>
      </w:r>
      <w:r w:rsidRPr="00B124B2">
        <w:rPr>
          <w:color w:val="000000" w:themeColor="text1"/>
          <w:sz w:val="18"/>
          <w:szCs w:val="18"/>
        </w:rPr>
        <w:t xml:space="preserve">. Horizontal grey line represents the signal of cell-free media; N=3, median ± IQR. </w:t>
      </w:r>
      <w:r w:rsidRPr="00B124B2">
        <w:rPr>
          <w:b/>
          <w:bCs/>
          <w:color w:val="000000" w:themeColor="text1"/>
          <w:sz w:val="18"/>
          <w:szCs w:val="18"/>
        </w:rPr>
        <w:t>(B)</w:t>
      </w:r>
      <w:r w:rsidRPr="00B124B2">
        <w:rPr>
          <w:color w:val="000000" w:themeColor="text1"/>
          <w:sz w:val="18"/>
          <w:szCs w:val="18"/>
        </w:rPr>
        <w:t xml:space="preserve"> Mouse naïve CD8</w:t>
      </w:r>
      <w:r w:rsidRPr="00B124B2">
        <w:rPr>
          <w:color w:val="000000" w:themeColor="text1"/>
          <w:sz w:val="18"/>
          <w:szCs w:val="18"/>
          <w:vertAlign w:val="superscript"/>
        </w:rPr>
        <w:t>+</w:t>
      </w:r>
      <w:r w:rsidRPr="00B124B2">
        <w:rPr>
          <w:color w:val="000000" w:themeColor="text1"/>
          <w:sz w:val="18"/>
          <w:szCs w:val="18"/>
        </w:rPr>
        <w:t xml:space="preserve"> T cells were activated for 3 days in 21%, 5%, or 1% O</w:t>
      </w:r>
      <w:r w:rsidRPr="00B124B2">
        <w:rPr>
          <w:color w:val="000000" w:themeColor="text1"/>
          <w:sz w:val="18"/>
          <w:szCs w:val="18"/>
          <w:vertAlign w:val="subscript"/>
        </w:rPr>
        <w:t xml:space="preserve">2 </w:t>
      </w:r>
      <w:r w:rsidRPr="00B124B2">
        <w:rPr>
          <w:color w:val="000000" w:themeColor="text1"/>
          <w:sz w:val="18"/>
          <w:szCs w:val="18"/>
        </w:rPr>
        <w:t xml:space="preserve">and cell counts and viability were determined with automated cell counter and Live/Dead NIR staining by flow cytometry, respectively; n=4, median ± IQR. </w:t>
      </w:r>
      <w:r w:rsidRPr="00B124B2">
        <w:rPr>
          <w:b/>
          <w:color w:val="000000" w:themeColor="text1"/>
          <w:sz w:val="18"/>
          <w:szCs w:val="18"/>
        </w:rPr>
        <w:t xml:space="preserve">(C) </w:t>
      </w:r>
      <w:r w:rsidRPr="00B124B2">
        <w:rPr>
          <w:color w:val="000000" w:themeColor="text1"/>
          <w:sz w:val="18"/>
          <w:szCs w:val="18"/>
        </w:rPr>
        <w:t>NOS2 protein expression in WT and HIF1 KO cells grown in 21 and 1%O</w:t>
      </w:r>
      <w:r w:rsidRPr="00B124B2">
        <w:rPr>
          <w:color w:val="000000" w:themeColor="text1"/>
          <w:sz w:val="18"/>
          <w:szCs w:val="18"/>
          <w:vertAlign w:val="subscript"/>
        </w:rPr>
        <w:t>2</w:t>
      </w:r>
      <w:r w:rsidRPr="00B124B2">
        <w:rPr>
          <w:color w:val="000000" w:themeColor="text1"/>
          <w:sz w:val="18"/>
          <w:szCs w:val="18"/>
        </w:rPr>
        <w:t xml:space="preserve"> for 3 days; n=1 </w:t>
      </w:r>
      <w:r w:rsidRPr="00B124B2">
        <w:rPr>
          <w:b/>
          <w:color w:val="000000" w:themeColor="text1"/>
          <w:sz w:val="18"/>
          <w:szCs w:val="18"/>
        </w:rPr>
        <w:t>(D)</w:t>
      </w:r>
      <w:r w:rsidRPr="00B124B2">
        <w:rPr>
          <w:color w:val="000000" w:themeColor="text1"/>
          <w:sz w:val="18"/>
          <w:szCs w:val="18"/>
        </w:rPr>
        <w:t xml:space="preserve"> NOS2 expression in T cells overexpressing different HIF1a isoforms (top) and correlation between HIF-1a and NOS2 expression (bottom). VC lane on the HIF-1a blot was moved from the last lane to the first one for presentation purposes. The vertical dotted line indicates the perpendicular cut used for montage; n=1. </w:t>
      </w:r>
      <w:r w:rsidRPr="00B124B2">
        <w:rPr>
          <w:b/>
          <w:bCs/>
          <w:color w:val="000000" w:themeColor="text1"/>
          <w:sz w:val="18"/>
          <w:szCs w:val="18"/>
        </w:rPr>
        <w:t>(E)</w:t>
      </w:r>
      <w:r w:rsidRPr="00B124B2">
        <w:rPr>
          <w:color w:val="000000" w:themeColor="text1"/>
          <w:sz w:val="18"/>
          <w:szCs w:val="18"/>
        </w:rPr>
        <w:t xml:space="preserve"> Human naïve CD8</w:t>
      </w:r>
      <w:r w:rsidRPr="00B124B2">
        <w:rPr>
          <w:color w:val="000000" w:themeColor="text1"/>
          <w:sz w:val="18"/>
          <w:szCs w:val="18"/>
          <w:vertAlign w:val="superscript"/>
        </w:rPr>
        <w:t>+</w:t>
      </w:r>
      <w:r w:rsidRPr="00B124B2">
        <w:rPr>
          <w:color w:val="000000" w:themeColor="text1"/>
          <w:sz w:val="18"/>
          <w:szCs w:val="18"/>
        </w:rPr>
        <w:t xml:space="preserve"> T cells were activated for 4 days in 21% or 1% O</w:t>
      </w:r>
      <w:r w:rsidRPr="00B124B2">
        <w:rPr>
          <w:color w:val="000000" w:themeColor="text1"/>
          <w:sz w:val="18"/>
          <w:szCs w:val="18"/>
          <w:vertAlign w:val="subscript"/>
        </w:rPr>
        <w:t xml:space="preserve">2 </w:t>
      </w:r>
      <w:r w:rsidRPr="00B124B2">
        <w:rPr>
          <w:color w:val="000000" w:themeColor="text1"/>
          <w:sz w:val="18"/>
          <w:szCs w:val="18"/>
        </w:rPr>
        <w:t xml:space="preserve">and cell counts and viability were determined with automated cell counter and Live/Dead NIR staining by flow cytometry, respectively; n=4, median ± IQR. </w:t>
      </w:r>
      <w:r w:rsidRPr="00B124B2">
        <w:rPr>
          <w:b/>
          <w:color w:val="000000"/>
          <w:sz w:val="18"/>
          <w:szCs w:val="18"/>
        </w:rPr>
        <w:t xml:space="preserve">(F) </w:t>
      </w:r>
      <w:r w:rsidRPr="00B124B2">
        <w:rPr>
          <w:color w:val="000000"/>
          <w:sz w:val="18"/>
          <w:szCs w:val="18"/>
        </w:rPr>
        <w:t>Western blot analysis of NOS3 in human CD8+ T cells using HUVEC cell as positive control and PPIB was used as loading control. For presentation purposes, blots were cut vertically between last 2 lanes as indicated by the dotted line; representative of N=3.</w:t>
      </w:r>
    </w:p>
    <w:p w14:paraId="33E37A7A" w14:textId="77777777" w:rsidR="00660C45" w:rsidRDefault="00660C45" w:rsidP="00660C45">
      <w:pPr>
        <w:suppressLineNumbers/>
        <w:spacing w:line="276" w:lineRule="auto"/>
        <w:jc w:val="left"/>
        <w:rPr>
          <w:sz w:val="20"/>
          <w:szCs w:val="20"/>
        </w:rPr>
      </w:pPr>
      <w:r>
        <w:rPr>
          <w:sz w:val="20"/>
          <w:szCs w:val="20"/>
        </w:rPr>
        <w:br w:type="page"/>
      </w:r>
    </w:p>
    <w:p w14:paraId="38DE639A" w14:textId="77777777" w:rsidR="00660C45" w:rsidRDefault="00660C45" w:rsidP="00660C45">
      <w:pPr>
        <w:suppressLineNumbers/>
        <w:spacing w:line="360" w:lineRule="auto"/>
        <w:rPr>
          <w:b/>
          <w:color w:val="000000"/>
          <w:sz w:val="18"/>
          <w:szCs w:val="18"/>
        </w:rPr>
      </w:pPr>
    </w:p>
    <w:p w14:paraId="469FD726" w14:textId="77777777" w:rsidR="00660C45" w:rsidRDefault="00660C45" w:rsidP="00660C45">
      <w:pPr>
        <w:suppressLineNumbers/>
        <w:spacing w:line="360" w:lineRule="auto"/>
        <w:rPr>
          <w:sz w:val="20"/>
          <w:szCs w:val="20"/>
        </w:rPr>
      </w:pPr>
      <w:r>
        <w:rPr>
          <w:b/>
          <w:noProof/>
          <w:color w:val="000000"/>
          <w:sz w:val="18"/>
          <w:szCs w:val="18"/>
        </w:rPr>
        <w:drawing>
          <wp:inline distT="0" distB="0" distL="0" distR="0" wp14:anchorId="2D98E3D0" wp14:editId="5D685BCE">
            <wp:extent cx="6298565" cy="2915920"/>
            <wp:effectExtent l="0" t="0" r="698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8565" cy="2915920"/>
                    </a:xfrm>
                    <a:prstGeom prst="rect">
                      <a:avLst/>
                    </a:prstGeom>
                  </pic:spPr>
                </pic:pic>
              </a:graphicData>
            </a:graphic>
          </wp:inline>
        </w:drawing>
      </w:r>
      <w:r w:rsidRPr="002A42A5">
        <w:rPr>
          <w:b/>
          <w:color w:val="000000"/>
          <w:sz w:val="18"/>
          <w:szCs w:val="18"/>
          <w:highlight w:val="yellow"/>
        </w:rPr>
        <w:t xml:space="preserve"> </w:t>
      </w:r>
      <w:r w:rsidRPr="00B124B2">
        <w:rPr>
          <w:b/>
          <w:color w:val="000000"/>
          <w:sz w:val="18"/>
          <w:szCs w:val="18"/>
        </w:rPr>
        <w:t>Figure S2. Effect of pharmacological inhibition of NO production by human CD8</w:t>
      </w:r>
      <w:r w:rsidRPr="00B124B2">
        <w:rPr>
          <w:b/>
          <w:color w:val="000000"/>
          <w:sz w:val="18"/>
          <w:szCs w:val="18"/>
          <w:vertAlign w:val="superscript"/>
        </w:rPr>
        <w:t>+</w:t>
      </w:r>
      <w:r w:rsidRPr="00B124B2">
        <w:rPr>
          <w:b/>
          <w:color w:val="000000"/>
          <w:sz w:val="18"/>
          <w:szCs w:val="18"/>
        </w:rPr>
        <w:t xml:space="preserve"> T cells (continued from Fig. 2).</w:t>
      </w:r>
      <w:r w:rsidRPr="00B124B2">
        <w:rPr>
          <w:color w:val="000000"/>
          <w:sz w:val="18"/>
          <w:szCs w:val="18"/>
        </w:rPr>
        <w:t xml:space="preserve"> </w:t>
      </w:r>
      <w:r w:rsidRPr="00B124B2">
        <w:rPr>
          <w:b/>
          <w:bCs/>
          <w:color w:val="000000"/>
          <w:sz w:val="18"/>
          <w:szCs w:val="18"/>
        </w:rPr>
        <w:t xml:space="preserve"> </w:t>
      </w:r>
      <w:r w:rsidRPr="00B124B2">
        <w:rPr>
          <w:color w:val="000000"/>
          <w:sz w:val="18"/>
          <w:szCs w:val="18"/>
        </w:rPr>
        <w:t>Human CD8</w:t>
      </w:r>
      <w:r w:rsidRPr="00B124B2">
        <w:rPr>
          <w:color w:val="000000"/>
          <w:sz w:val="18"/>
          <w:szCs w:val="18"/>
          <w:vertAlign w:val="superscript"/>
        </w:rPr>
        <w:t>+</w:t>
      </w:r>
      <w:r w:rsidRPr="00B124B2">
        <w:rPr>
          <w:color w:val="000000"/>
          <w:sz w:val="18"/>
          <w:szCs w:val="18"/>
        </w:rPr>
        <w:t xml:space="preserve"> T cells were activated with αCD3/CD28 dynabeads in 21% O</w:t>
      </w:r>
      <w:r w:rsidRPr="00B124B2">
        <w:rPr>
          <w:color w:val="000000"/>
          <w:sz w:val="18"/>
          <w:szCs w:val="18"/>
          <w:vertAlign w:val="subscript"/>
        </w:rPr>
        <w:t>2</w:t>
      </w:r>
      <w:r w:rsidRPr="00B124B2">
        <w:rPr>
          <w:color w:val="000000"/>
          <w:sz w:val="18"/>
          <w:szCs w:val="18"/>
        </w:rPr>
        <w:t xml:space="preserve"> and culture for 3 days in the presence of L-NAME (green) or NOC-18 (purple). </w:t>
      </w:r>
      <w:r w:rsidRPr="00B124B2">
        <w:rPr>
          <w:bCs/>
          <w:color w:val="000000"/>
          <w:sz w:val="18"/>
          <w:szCs w:val="18"/>
        </w:rPr>
        <w:t xml:space="preserve">Cell number determined </w:t>
      </w:r>
      <w:r w:rsidRPr="00B124B2">
        <w:rPr>
          <w:color w:val="000000" w:themeColor="text1"/>
          <w:sz w:val="18"/>
          <w:szCs w:val="18"/>
        </w:rPr>
        <w:t>by Live/Dead NIR staining by flow cytometry</w:t>
      </w:r>
      <w:r w:rsidRPr="00B124B2">
        <w:rPr>
          <w:bCs/>
          <w:color w:val="000000"/>
          <w:sz w:val="18"/>
          <w:szCs w:val="18"/>
        </w:rPr>
        <w:t xml:space="preserve"> </w:t>
      </w:r>
      <w:r w:rsidRPr="00B124B2">
        <w:rPr>
          <w:b/>
          <w:color w:val="000000"/>
          <w:sz w:val="18"/>
          <w:szCs w:val="18"/>
        </w:rPr>
        <w:t>(A)</w:t>
      </w:r>
      <w:r w:rsidRPr="00B124B2">
        <w:rPr>
          <w:bCs/>
          <w:color w:val="000000"/>
          <w:sz w:val="18"/>
          <w:szCs w:val="18"/>
        </w:rPr>
        <w:t xml:space="preserve">, percentage of CD8+ T cells with more than 1 division determined with CTV staining </w:t>
      </w:r>
      <w:r w:rsidRPr="00B124B2">
        <w:rPr>
          <w:b/>
          <w:color w:val="000000"/>
          <w:sz w:val="18"/>
          <w:szCs w:val="18"/>
        </w:rPr>
        <w:t>(B)</w:t>
      </w:r>
      <w:r w:rsidRPr="00B124B2">
        <w:rPr>
          <w:bCs/>
          <w:color w:val="000000"/>
          <w:sz w:val="18"/>
          <w:szCs w:val="18"/>
        </w:rPr>
        <w:t xml:space="preserve"> and expression of T-bet </w:t>
      </w:r>
      <w:r w:rsidRPr="00B124B2">
        <w:rPr>
          <w:b/>
          <w:color w:val="000000"/>
          <w:sz w:val="18"/>
          <w:szCs w:val="18"/>
        </w:rPr>
        <w:t>(C)</w:t>
      </w:r>
      <w:r w:rsidRPr="00B124B2">
        <w:rPr>
          <w:bCs/>
          <w:color w:val="000000"/>
          <w:sz w:val="18"/>
          <w:szCs w:val="18"/>
        </w:rPr>
        <w:t xml:space="preserve">, CCR7 </w:t>
      </w:r>
      <w:r w:rsidRPr="00B124B2">
        <w:rPr>
          <w:b/>
          <w:color w:val="000000"/>
          <w:sz w:val="18"/>
          <w:szCs w:val="18"/>
        </w:rPr>
        <w:t>(D)</w:t>
      </w:r>
      <w:r w:rsidRPr="00B124B2">
        <w:rPr>
          <w:bCs/>
          <w:color w:val="000000"/>
          <w:sz w:val="18"/>
          <w:szCs w:val="18"/>
        </w:rPr>
        <w:t xml:space="preserve"> and CD62L </w:t>
      </w:r>
      <w:r w:rsidRPr="00B124B2">
        <w:rPr>
          <w:b/>
          <w:color w:val="000000"/>
          <w:sz w:val="18"/>
          <w:szCs w:val="18"/>
        </w:rPr>
        <w:t>(E)</w:t>
      </w:r>
      <w:r w:rsidRPr="00B124B2">
        <w:rPr>
          <w:bCs/>
          <w:color w:val="000000"/>
          <w:sz w:val="18"/>
          <w:szCs w:val="18"/>
        </w:rPr>
        <w:t xml:space="preserve">. Horizontal grey line represents the DMSO control cells (CT). Expression of differentiation markers shown as </w:t>
      </w:r>
      <w:r w:rsidRPr="00B124B2">
        <w:rPr>
          <w:color w:val="000000"/>
          <w:sz w:val="18"/>
          <w:szCs w:val="18"/>
        </w:rPr>
        <w:t>log</w:t>
      </w:r>
      <w:r w:rsidRPr="00B124B2">
        <w:rPr>
          <w:color w:val="000000"/>
          <w:sz w:val="18"/>
          <w:szCs w:val="18"/>
          <w:vertAlign w:val="subscript"/>
        </w:rPr>
        <w:t>2</w:t>
      </w:r>
      <w:r w:rsidRPr="00B124B2">
        <w:rPr>
          <w:color w:val="000000"/>
          <w:sz w:val="18"/>
          <w:szCs w:val="18"/>
        </w:rPr>
        <w:t xml:space="preserve"> fold change in MFI relative to CT; n=3</w:t>
      </w:r>
      <w:r>
        <w:rPr>
          <w:color w:val="000000"/>
          <w:sz w:val="18"/>
          <w:szCs w:val="18"/>
        </w:rPr>
        <w:t>, median ± IQR</w:t>
      </w:r>
      <w:r w:rsidRPr="00B124B2">
        <w:rPr>
          <w:color w:val="000000"/>
          <w:sz w:val="18"/>
          <w:szCs w:val="18"/>
        </w:rPr>
        <w:t>.</w:t>
      </w:r>
    </w:p>
    <w:p w14:paraId="7D0D9C3A" w14:textId="77777777" w:rsidR="00660C45" w:rsidRDefault="00660C45" w:rsidP="00660C45">
      <w:pPr>
        <w:suppressLineNumbers/>
        <w:spacing w:line="360" w:lineRule="auto"/>
      </w:pPr>
    </w:p>
    <w:p w14:paraId="0E2F4B98" w14:textId="77777777" w:rsidR="00660C45" w:rsidRDefault="00660C45" w:rsidP="00660C45">
      <w:pPr>
        <w:suppressLineNumbers/>
        <w:spacing w:line="360" w:lineRule="auto"/>
      </w:pPr>
    </w:p>
    <w:p w14:paraId="4773B6B2" w14:textId="77777777" w:rsidR="00660C45" w:rsidRDefault="00660C45" w:rsidP="00660C45">
      <w:pPr>
        <w:suppressLineNumbers/>
        <w:spacing w:line="360" w:lineRule="auto"/>
      </w:pPr>
    </w:p>
    <w:p w14:paraId="3D34B882" w14:textId="77777777" w:rsidR="00660C45" w:rsidRDefault="00660C45" w:rsidP="00660C45">
      <w:pPr>
        <w:suppressLineNumbers/>
        <w:spacing w:line="360" w:lineRule="auto"/>
      </w:pPr>
    </w:p>
    <w:p w14:paraId="2A973802" w14:textId="77777777" w:rsidR="00660C45" w:rsidRDefault="00660C45" w:rsidP="00660C45">
      <w:pPr>
        <w:suppressLineNumbers/>
        <w:spacing w:line="360" w:lineRule="auto"/>
      </w:pPr>
    </w:p>
    <w:p w14:paraId="064C63F8" w14:textId="77777777" w:rsidR="00660C45" w:rsidRDefault="00660C45" w:rsidP="00660C45">
      <w:pPr>
        <w:suppressLineNumbers/>
        <w:spacing w:line="360" w:lineRule="auto"/>
      </w:pPr>
    </w:p>
    <w:p w14:paraId="3BA3E042" w14:textId="77777777" w:rsidR="00660C45" w:rsidRDefault="00660C45" w:rsidP="00660C45">
      <w:pPr>
        <w:suppressLineNumbers/>
        <w:spacing w:line="360" w:lineRule="auto"/>
      </w:pPr>
    </w:p>
    <w:p w14:paraId="18DF228A" w14:textId="77777777" w:rsidR="00660C45" w:rsidRDefault="00660C45" w:rsidP="00660C45">
      <w:pPr>
        <w:suppressLineNumbers/>
        <w:spacing w:line="360" w:lineRule="auto"/>
      </w:pPr>
    </w:p>
    <w:p w14:paraId="433CC473" w14:textId="77777777" w:rsidR="00660C45" w:rsidRDefault="00660C45" w:rsidP="00660C45">
      <w:pPr>
        <w:suppressLineNumbers/>
        <w:spacing w:line="360" w:lineRule="auto"/>
      </w:pPr>
    </w:p>
    <w:p w14:paraId="0D495216" w14:textId="77777777" w:rsidR="00660C45" w:rsidRDefault="00660C45" w:rsidP="00660C45">
      <w:pPr>
        <w:pStyle w:val="Heading5"/>
        <w:suppressLineNumbers/>
        <w:spacing w:line="276" w:lineRule="auto"/>
        <w:rPr>
          <w:color w:val="000000"/>
          <w:sz w:val="18"/>
          <w:szCs w:val="18"/>
        </w:rPr>
      </w:pPr>
      <w:bookmarkStart w:id="0" w:name="_mx43bq2w7b39" w:colFirst="0" w:colLast="0"/>
      <w:bookmarkEnd w:id="0"/>
      <w:r>
        <w:rPr>
          <w:b/>
          <w:noProof/>
          <w:color w:val="000000"/>
          <w:sz w:val="18"/>
          <w:szCs w:val="18"/>
        </w:rPr>
        <w:lastRenderedPageBreak/>
        <w:drawing>
          <wp:inline distT="0" distB="0" distL="0" distR="0" wp14:anchorId="0796E55A" wp14:editId="42E9564E">
            <wp:extent cx="6298565" cy="6579870"/>
            <wp:effectExtent l="0" t="0" r="6985"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8565" cy="6579870"/>
                    </a:xfrm>
                    <a:prstGeom prst="rect">
                      <a:avLst/>
                    </a:prstGeom>
                  </pic:spPr>
                </pic:pic>
              </a:graphicData>
            </a:graphic>
          </wp:inline>
        </w:drawing>
      </w:r>
      <w:r>
        <w:rPr>
          <w:b/>
          <w:color w:val="000000"/>
          <w:sz w:val="18"/>
          <w:szCs w:val="18"/>
        </w:rPr>
        <w:t>Figure S3. Effect of altered NOS2 levels in CD8</w:t>
      </w:r>
      <w:r>
        <w:rPr>
          <w:b/>
          <w:color w:val="000000"/>
          <w:sz w:val="18"/>
          <w:szCs w:val="18"/>
          <w:vertAlign w:val="superscript"/>
        </w:rPr>
        <w:t>+</w:t>
      </w:r>
      <w:r>
        <w:rPr>
          <w:b/>
          <w:color w:val="000000"/>
          <w:sz w:val="18"/>
          <w:szCs w:val="18"/>
        </w:rPr>
        <w:t xml:space="preserve"> T cells and CD4</w:t>
      </w:r>
      <w:r>
        <w:rPr>
          <w:b/>
          <w:color w:val="000000"/>
          <w:sz w:val="18"/>
          <w:szCs w:val="18"/>
          <w:vertAlign w:val="superscript"/>
        </w:rPr>
        <w:t>+</w:t>
      </w:r>
      <w:r>
        <w:rPr>
          <w:b/>
          <w:color w:val="000000"/>
          <w:sz w:val="18"/>
          <w:szCs w:val="18"/>
        </w:rPr>
        <w:t xml:space="preserve"> T cells. </w:t>
      </w:r>
      <w:r w:rsidRPr="00BD2846">
        <w:rPr>
          <w:b/>
          <w:bCs/>
          <w:color w:val="000000"/>
          <w:sz w:val="18"/>
          <w:szCs w:val="18"/>
        </w:rPr>
        <w:t>(A)</w:t>
      </w:r>
      <w:r>
        <w:rPr>
          <w:color w:val="000000"/>
          <w:sz w:val="18"/>
          <w:szCs w:val="18"/>
        </w:rPr>
        <w:t xml:space="preserve"> </w:t>
      </w:r>
      <w:r w:rsidRPr="00BD2846">
        <w:rPr>
          <w:color w:val="000000" w:themeColor="text1"/>
          <w:sz w:val="18"/>
          <w:szCs w:val="18"/>
        </w:rPr>
        <w:t>Mouse naïve CD8</w:t>
      </w:r>
      <w:r w:rsidRPr="00BD2846">
        <w:rPr>
          <w:color w:val="000000" w:themeColor="text1"/>
          <w:sz w:val="18"/>
          <w:szCs w:val="18"/>
          <w:vertAlign w:val="superscript"/>
        </w:rPr>
        <w:t>+</w:t>
      </w:r>
      <w:r w:rsidRPr="00BD2846">
        <w:rPr>
          <w:color w:val="000000" w:themeColor="text1"/>
          <w:sz w:val="18"/>
          <w:szCs w:val="18"/>
        </w:rPr>
        <w:t xml:space="preserve"> T cells were activated for 3 days in 21% or 1% O</w:t>
      </w:r>
      <w:r w:rsidRPr="00BD2846">
        <w:rPr>
          <w:color w:val="000000" w:themeColor="text1"/>
          <w:sz w:val="18"/>
          <w:szCs w:val="18"/>
          <w:vertAlign w:val="subscript"/>
        </w:rPr>
        <w:t xml:space="preserve">2 </w:t>
      </w:r>
      <w:r w:rsidRPr="00BD2846">
        <w:rPr>
          <w:color w:val="000000" w:themeColor="text1"/>
          <w:sz w:val="18"/>
          <w:szCs w:val="18"/>
        </w:rPr>
        <w:t>and cell counts</w:t>
      </w:r>
      <w:r>
        <w:rPr>
          <w:color w:val="000000" w:themeColor="text1"/>
          <w:sz w:val="18"/>
          <w:szCs w:val="18"/>
        </w:rPr>
        <w:t xml:space="preserve"> (top)</w:t>
      </w:r>
      <w:r w:rsidRPr="00BD2846">
        <w:rPr>
          <w:color w:val="000000" w:themeColor="text1"/>
          <w:sz w:val="18"/>
          <w:szCs w:val="18"/>
        </w:rPr>
        <w:t xml:space="preserve"> and viability</w:t>
      </w:r>
      <w:r>
        <w:rPr>
          <w:color w:val="000000" w:themeColor="text1"/>
          <w:sz w:val="18"/>
          <w:szCs w:val="18"/>
        </w:rPr>
        <w:t xml:space="preserve"> (bottom)</w:t>
      </w:r>
      <w:r w:rsidRPr="00BD2846">
        <w:rPr>
          <w:color w:val="000000" w:themeColor="text1"/>
          <w:sz w:val="18"/>
          <w:szCs w:val="18"/>
        </w:rPr>
        <w:t xml:space="preserve"> were determined with automated cell counter and Live/Dead NIR staining by flow cytometry, respectively;</w:t>
      </w:r>
      <w:r>
        <w:rPr>
          <w:color w:val="000000" w:themeColor="text1"/>
          <w:sz w:val="18"/>
          <w:szCs w:val="18"/>
        </w:rPr>
        <w:t xml:space="preserve"> </w:t>
      </w:r>
      <w:r>
        <w:rPr>
          <w:color w:val="000000"/>
          <w:sz w:val="18"/>
          <w:szCs w:val="18"/>
        </w:rPr>
        <w:t>median ± IQR,</w:t>
      </w:r>
      <w:r w:rsidRPr="00BD2846">
        <w:rPr>
          <w:color w:val="000000" w:themeColor="text1"/>
          <w:sz w:val="18"/>
          <w:szCs w:val="18"/>
        </w:rPr>
        <w:t xml:space="preserve"> N=5-8.</w:t>
      </w:r>
      <w:r w:rsidRPr="00BD2846">
        <w:rPr>
          <w:b/>
          <w:color w:val="000000"/>
          <w:sz w:val="18"/>
          <w:szCs w:val="18"/>
        </w:rPr>
        <w:t xml:space="preserve"> (B)</w:t>
      </w:r>
      <w:r w:rsidRPr="00BD2846">
        <w:rPr>
          <w:color w:val="000000"/>
          <w:sz w:val="18"/>
          <w:szCs w:val="18"/>
        </w:rPr>
        <w:t xml:space="preserve"> Naive mouse WT and NOS2</w:t>
      </w:r>
      <w:r w:rsidRPr="00BD2846">
        <w:rPr>
          <w:color w:val="000000"/>
          <w:sz w:val="18"/>
          <w:szCs w:val="18"/>
          <w:vertAlign w:val="superscript"/>
        </w:rPr>
        <w:t xml:space="preserve">KO </w:t>
      </w:r>
      <w:r w:rsidRPr="00BD2846">
        <w:rPr>
          <w:color w:val="000000"/>
          <w:sz w:val="18"/>
          <w:szCs w:val="18"/>
        </w:rPr>
        <w:t>(KO) CD4</w:t>
      </w:r>
      <w:r w:rsidRPr="00BD2846">
        <w:rPr>
          <w:color w:val="000000"/>
          <w:sz w:val="18"/>
          <w:szCs w:val="18"/>
          <w:vertAlign w:val="superscript"/>
        </w:rPr>
        <w:t>+</w:t>
      </w:r>
      <w:r w:rsidRPr="00BD2846">
        <w:rPr>
          <w:color w:val="000000"/>
          <w:sz w:val="18"/>
          <w:szCs w:val="18"/>
        </w:rPr>
        <w:t xml:space="preserve"> T cells were activated for 2-5 days with αCD3/CD28 beads in different oxygen</w:t>
      </w:r>
      <w:r>
        <w:rPr>
          <w:color w:val="000000"/>
          <w:sz w:val="18"/>
          <w:szCs w:val="18"/>
        </w:rPr>
        <w:t xml:space="preserve"> tensions and polarized with Th1, Treg and Th17 cytokines. Live counts were determined by flow cytometry using count beads and presented relative to cells grown at 21% O</w:t>
      </w:r>
      <w:r>
        <w:rPr>
          <w:color w:val="000000"/>
          <w:sz w:val="18"/>
          <w:szCs w:val="18"/>
          <w:vertAlign w:val="subscript"/>
        </w:rPr>
        <w:t>2</w:t>
      </w:r>
      <w:r>
        <w:rPr>
          <w:color w:val="000000"/>
          <w:sz w:val="18"/>
          <w:szCs w:val="18"/>
        </w:rPr>
        <w:t>. To assess proliferation, cells were loaded with CellTrace Violet (CTV) and the CTV dilution peaks obtained in flow cytometry were used to calculate the division index. Data on differentiation markers presented as a percentage of live CD4</w:t>
      </w:r>
      <w:r>
        <w:rPr>
          <w:color w:val="000000"/>
          <w:sz w:val="18"/>
          <w:szCs w:val="18"/>
          <w:vertAlign w:val="superscript"/>
        </w:rPr>
        <w:t>+</w:t>
      </w:r>
      <w:r>
        <w:rPr>
          <w:color w:val="000000"/>
          <w:sz w:val="18"/>
          <w:szCs w:val="18"/>
        </w:rPr>
        <w:t xml:space="preserve"> T cells or as median fluorescence intensity (MFI) relative to the median value in WT cells grown in 21%O</w:t>
      </w:r>
      <w:r>
        <w:rPr>
          <w:color w:val="000000"/>
          <w:sz w:val="18"/>
          <w:szCs w:val="18"/>
          <w:vertAlign w:val="subscript"/>
        </w:rPr>
        <w:t>2</w:t>
      </w:r>
      <w:r>
        <w:rPr>
          <w:color w:val="000000"/>
          <w:sz w:val="18"/>
          <w:szCs w:val="18"/>
        </w:rPr>
        <w:t xml:space="preserve"> from each independent experiment. Due to the bimodal distribution of fluorescent signals, MFI values of IFN-γ, FOXP3 and IL-17 were obtained from the population cells positive for IFN-γ, FOXP3 and IL-17, respectively. </w:t>
      </w:r>
      <w:r>
        <w:rPr>
          <w:b/>
          <w:color w:val="000000"/>
          <w:sz w:val="18"/>
          <w:szCs w:val="18"/>
        </w:rPr>
        <w:t>(C)</w:t>
      </w:r>
      <w:r>
        <w:rPr>
          <w:color w:val="000000"/>
          <w:sz w:val="18"/>
          <w:szCs w:val="18"/>
        </w:rPr>
        <w:t xml:space="preserve"> Retroviral vector design for ectopic NOS2 expression (NOS2OE). After genomic integration, the retroviral long terminal repeat promoter drives the expression of a polycistronic peptide containing the surface transduction marker Thy-1.1 and NOS2, interspersed with furin-cleavage and self-cleaving picornavirus 2A sites. VC: vector control with Thy-1.1 alone. </w:t>
      </w:r>
      <w:r>
        <w:rPr>
          <w:b/>
          <w:color w:val="000000"/>
          <w:sz w:val="18"/>
          <w:szCs w:val="18"/>
        </w:rPr>
        <w:t>(D)</w:t>
      </w:r>
      <w:r>
        <w:rPr>
          <w:color w:val="000000"/>
          <w:sz w:val="18"/>
          <w:szCs w:val="18"/>
        </w:rPr>
        <w:t xml:space="preserve"> Flow cytometry analysis of NOS2 and CD44 expression in Thy-1.1+ cells from 24 hour-activated mouse CD8+ T cells transduced with VC or NOS2</w:t>
      </w:r>
      <w:r>
        <w:rPr>
          <w:color w:val="000000"/>
          <w:sz w:val="18"/>
          <w:szCs w:val="18"/>
          <w:vertAlign w:val="superscript"/>
        </w:rPr>
        <w:t>OE</w:t>
      </w:r>
      <w:r>
        <w:rPr>
          <w:color w:val="000000"/>
          <w:sz w:val="18"/>
          <w:szCs w:val="18"/>
        </w:rPr>
        <w:t xml:space="preserve"> vector and expanded for 3 days; median ± IQR, N=6. </w:t>
      </w:r>
      <w:r>
        <w:rPr>
          <w:b/>
          <w:color w:val="000000"/>
          <w:sz w:val="18"/>
          <w:szCs w:val="18"/>
        </w:rPr>
        <w:t>(E)</w:t>
      </w:r>
      <w:r>
        <w:rPr>
          <w:color w:val="000000"/>
          <w:sz w:val="18"/>
          <w:szCs w:val="18"/>
        </w:rPr>
        <w:t xml:space="preserve"> 1 day after activation, cells were transduced with VC or NOS2</w:t>
      </w:r>
      <w:r>
        <w:rPr>
          <w:color w:val="000000"/>
          <w:sz w:val="18"/>
          <w:szCs w:val="18"/>
          <w:vertAlign w:val="superscript"/>
        </w:rPr>
        <w:t>OE</w:t>
      </w:r>
      <w:r>
        <w:rPr>
          <w:color w:val="000000"/>
          <w:sz w:val="18"/>
          <w:szCs w:val="18"/>
        </w:rPr>
        <w:t xml:space="preserve"> vector, expanded for 3 days and enriched with Thy-1.1+ beads by magnetic-assisted cell sorting (MACS). Percentage of cells expressing Thy-1.1 before and after MACS was assessed by flow cytometry; median ± IQR, N=6. </w:t>
      </w:r>
      <w:r>
        <w:rPr>
          <w:b/>
          <w:color w:val="000000"/>
          <w:sz w:val="18"/>
          <w:szCs w:val="18"/>
        </w:rPr>
        <w:t xml:space="preserve">(F) </w:t>
      </w:r>
      <w:r>
        <w:rPr>
          <w:color w:val="000000"/>
          <w:sz w:val="18"/>
          <w:szCs w:val="18"/>
        </w:rPr>
        <w:t xml:space="preserve">Transduced T cells were expanded for 3 </w:t>
      </w:r>
      <w:r>
        <w:rPr>
          <w:color w:val="000000"/>
          <w:sz w:val="18"/>
          <w:szCs w:val="18"/>
        </w:rPr>
        <w:lastRenderedPageBreak/>
        <w:t>days after MACS in 21% O</w:t>
      </w:r>
      <w:r>
        <w:rPr>
          <w:color w:val="000000"/>
          <w:sz w:val="18"/>
          <w:szCs w:val="18"/>
          <w:vertAlign w:val="subscript"/>
        </w:rPr>
        <w:t>2</w:t>
      </w:r>
      <w:r>
        <w:rPr>
          <w:color w:val="000000"/>
          <w:sz w:val="18"/>
          <w:szCs w:val="18"/>
        </w:rPr>
        <w:t xml:space="preserve"> and extracellular quantification of nitrites was used to determine NO production; median ± IQR, N=5. </w:t>
      </w:r>
      <w:r>
        <w:rPr>
          <w:b/>
          <w:color w:val="000000"/>
          <w:sz w:val="18"/>
          <w:szCs w:val="18"/>
        </w:rPr>
        <w:t>(G)</w:t>
      </w:r>
      <w:r>
        <w:rPr>
          <w:color w:val="000000"/>
          <w:sz w:val="18"/>
          <w:szCs w:val="18"/>
        </w:rPr>
        <w:t xml:space="preserve"> Transduced T cells were expanded for 3 days after MACS in 21% O</w:t>
      </w:r>
      <w:r>
        <w:rPr>
          <w:color w:val="000000"/>
          <w:sz w:val="18"/>
          <w:szCs w:val="18"/>
          <w:vertAlign w:val="subscript"/>
        </w:rPr>
        <w:t>2</w:t>
      </w:r>
      <w:r>
        <w:rPr>
          <w:color w:val="000000"/>
          <w:sz w:val="18"/>
          <w:szCs w:val="18"/>
        </w:rPr>
        <w:t xml:space="preserve"> with or without 100 µM 1400W (NOS2 inhibitor). Cell counts were determined in an automated cell counter (left) and CD44 expression was determined by flow cytometry in Thy-1.1+CD8+CD44+ cells (right); N=5. </w:t>
      </w:r>
      <w:r>
        <w:rPr>
          <w:b/>
          <w:color w:val="000000"/>
          <w:sz w:val="18"/>
          <w:szCs w:val="18"/>
        </w:rPr>
        <w:t xml:space="preserve">(H) </w:t>
      </w:r>
      <w:r>
        <w:rPr>
          <w:color w:val="000000"/>
          <w:sz w:val="18"/>
          <w:szCs w:val="18"/>
        </w:rPr>
        <w:t>Transduced T cells were expanded for 3 days after MACS and co-cultured with 10000 OVA-expressing B16-F10 tumor cells at different effector:target (E:T) ratios. Cytotoxicity was assessed with Alamar blue assay after 14-18 hours of co-culture. A non-linear regression ([agonist] vs normalized response) was used to determine dose-response curves (plotted with 95% confidence intervals represented in shaded areas) and EC</w:t>
      </w:r>
      <w:r>
        <w:rPr>
          <w:color w:val="000000"/>
          <w:sz w:val="18"/>
          <w:szCs w:val="18"/>
          <w:vertAlign w:val="subscript"/>
        </w:rPr>
        <w:t>50</w:t>
      </w:r>
      <w:r>
        <w:rPr>
          <w:color w:val="000000"/>
          <w:sz w:val="18"/>
          <w:szCs w:val="18"/>
        </w:rPr>
        <w:t xml:space="preserve"> values (plotted on the right as median ± IQR); N=4.  Each data point represents an independent animal (n=8-21). ns P&gt;0.05, * P&lt;0.05. ** P&lt;0.01, *** P&lt;0.01,  Mann-Whitney test relative to respective WT control.</w:t>
      </w:r>
      <w:r>
        <w:br w:type="page"/>
      </w:r>
    </w:p>
    <w:p w14:paraId="50DED575" w14:textId="77777777" w:rsidR="00660C45" w:rsidRDefault="00660C45" w:rsidP="00660C45">
      <w:pPr>
        <w:pStyle w:val="Heading5"/>
        <w:suppressLineNumbers/>
        <w:spacing w:line="276" w:lineRule="auto"/>
        <w:rPr>
          <w:sz w:val="18"/>
          <w:szCs w:val="18"/>
        </w:rPr>
      </w:pPr>
      <w:bookmarkStart w:id="1" w:name="_k71wuyf32pfr" w:colFirst="0" w:colLast="0"/>
      <w:bookmarkStart w:id="2" w:name="_fmbejqq01tmf" w:colFirst="0" w:colLast="0"/>
      <w:bookmarkEnd w:id="1"/>
      <w:bookmarkEnd w:id="2"/>
      <w:r>
        <w:rPr>
          <w:b/>
          <w:noProof/>
          <w:color w:val="000000"/>
          <w:sz w:val="18"/>
          <w:szCs w:val="18"/>
        </w:rPr>
        <w:lastRenderedPageBreak/>
        <w:drawing>
          <wp:inline distT="0" distB="0" distL="0" distR="0" wp14:anchorId="0CA0D969" wp14:editId="11C15A47">
            <wp:extent cx="6298565" cy="6736080"/>
            <wp:effectExtent l="0" t="0" r="6985" b="762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8565" cy="6736080"/>
                    </a:xfrm>
                    <a:prstGeom prst="rect">
                      <a:avLst/>
                    </a:prstGeom>
                  </pic:spPr>
                </pic:pic>
              </a:graphicData>
            </a:graphic>
          </wp:inline>
        </w:drawing>
      </w:r>
      <w:r>
        <w:rPr>
          <w:b/>
          <w:color w:val="000000"/>
          <w:sz w:val="18"/>
          <w:szCs w:val="18"/>
        </w:rPr>
        <w:t>Figure S4. Characterization of the NOS2</w:t>
      </w:r>
      <w:r>
        <w:rPr>
          <w:b/>
          <w:color w:val="000000"/>
          <w:sz w:val="18"/>
          <w:szCs w:val="18"/>
          <w:vertAlign w:val="superscript"/>
        </w:rPr>
        <w:t>KO</w:t>
      </w:r>
      <w:r>
        <w:rPr>
          <w:b/>
          <w:color w:val="000000"/>
          <w:sz w:val="18"/>
          <w:szCs w:val="18"/>
        </w:rPr>
        <w:t xml:space="preserve"> mouse model. (A)</w:t>
      </w:r>
      <w:r>
        <w:rPr>
          <w:color w:val="000000"/>
          <w:sz w:val="18"/>
          <w:szCs w:val="18"/>
        </w:rPr>
        <w:t xml:space="preserve"> Expression of dlck</w:t>
      </w:r>
      <w:r>
        <w:rPr>
          <w:color w:val="000000"/>
          <w:sz w:val="18"/>
          <w:szCs w:val="18"/>
          <w:vertAlign w:val="superscript"/>
        </w:rPr>
        <w:t>Cre</w:t>
      </w:r>
      <w:r>
        <w:rPr>
          <w:color w:val="000000"/>
          <w:sz w:val="18"/>
          <w:szCs w:val="18"/>
        </w:rPr>
        <w:t xml:space="preserve">-driven TdTomato in different immune cells was determined by flow cytometry in lymph nodes collected from Cre+ and Cre- (CT) animals; n=3 </w:t>
      </w:r>
      <w:r>
        <w:rPr>
          <w:b/>
          <w:color w:val="000000"/>
          <w:sz w:val="18"/>
          <w:szCs w:val="18"/>
        </w:rPr>
        <w:t>(B)</w:t>
      </w:r>
      <w:r>
        <w:rPr>
          <w:color w:val="000000"/>
          <w:sz w:val="18"/>
          <w:szCs w:val="18"/>
        </w:rPr>
        <w:t xml:space="preserve"> Thymus, spleen, peripheral blood and inguinal lymph nodes were harvested from unchallenged Nos2</w:t>
      </w:r>
      <w:r>
        <w:rPr>
          <w:color w:val="000000"/>
          <w:sz w:val="18"/>
          <w:szCs w:val="18"/>
          <w:vertAlign w:val="superscript"/>
        </w:rPr>
        <w:t>fl/fl</w:t>
      </w:r>
      <w:r>
        <w:rPr>
          <w:color w:val="000000"/>
          <w:sz w:val="18"/>
          <w:szCs w:val="18"/>
        </w:rPr>
        <w:t xml:space="preserve"> (WT, gray) and Nos2</w:t>
      </w:r>
      <w:r>
        <w:rPr>
          <w:color w:val="000000"/>
          <w:sz w:val="18"/>
          <w:szCs w:val="18"/>
          <w:vertAlign w:val="superscript"/>
        </w:rPr>
        <w:t>fl/fl</w:t>
      </w:r>
      <w:r>
        <w:rPr>
          <w:color w:val="000000"/>
          <w:sz w:val="18"/>
          <w:szCs w:val="18"/>
        </w:rPr>
        <w:t>dlck</w:t>
      </w:r>
      <w:r>
        <w:rPr>
          <w:color w:val="000000"/>
          <w:sz w:val="18"/>
          <w:szCs w:val="18"/>
          <w:vertAlign w:val="superscript"/>
        </w:rPr>
        <w:t>cre</w:t>
      </w:r>
      <w:r>
        <w:rPr>
          <w:color w:val="000000"/>
          <w:sz w:val="18"/>
          <w:szCs w:val="18"/>
        </w:rPr>
        <w:t xml:space="preserve"> (KO, orange) and their immune composition was determined by flow cytometry; N=6 pooled from two independent experiments. </w:t>
      </w:r>
      <w:r>
        <w:rPr>
          <w:b/>
          <w:color w:val="000000"/>
          <w:sz w:val="18"/>
          <w:szCs w:val="18"/>
        </w:rPr>
        <w:t xml:space="preserve">(C) </w:t>
      </w:r>
      <w:r>
        <w:rPr>
          <w:color w:val="000000"/>
          <w:sz w:val="18"/>
          <w:szCs w:val="18"/>
        </w:rPr>
        <w:t xml:space="preserve">Gating strategy relative to Fig. 4D. </w:t>
      </w:r>
      <w:r>
        <w:rPr>
          <w:b/>
          <w:color w:val="000000"/>
          <w:sz w:val="18"/>
          <w:szCs w:val="18"/>
        </w:rPr>
        <w:t xml:space="preserve">(C) </w:t>
      </w:r>
      <w:r>
        <w:rPr>
          <w:color w:val="000000"/>
          <w:sz w:val="18"/>
          <w:szCs w:val="18"/>
        </w:rPr>
        <w:t>Tumor volume and ratio between CD8</w:t>
      </w:r>
      <w:r w:rsidRPr="00A8205E">
        <w:rPr>
          <w:color w:val="000000"/>
          <w:sz w:val="18"/>
          <w:szCs w:val="18"/>
          <w:vertAlign w:val="superscript"/>
        </w:rPr>
        <w:t>+</w:t>
      </w:r>
      <w:r>
        <w:rPr>
          <w:color w:val="000000"/>
          <w:sz w:val="18"/>
          <w:szCs w:val="18"/>
        </w:rPr>
        <w:t>/CD4</w:t>
      </w:r>
      <w:r w:rsidRPr="00A8205E">
        <w:rPr>
          <w:color w:val="000000"/>
          <w:sz w:val="18"/>
          <w:szCs w:val="18"/>
          <w:vertAlign w:val="superscript"/>
        </w:rPr>
        <w:t>+</w:t>
      </w:r>
      <w:r>
        <w:rPr>
          <w:color w:val="000000"/>
          <w:sz w:val="18"/>
          <w:szCs w:val="18"/>
        </w:rPr>
        <w:t>, CD8</w:t>
      </w:r>
      <w:r w:rsidRPr="00A8205E">
        <w:rPr>
          <w:color w:val="000000"/>
          <w:sz w:val="18"/>
          <w:szCs w:val="18"/>
          <w:vertAlign w:val="superscript"/>
        </w:rPr>
        <w:t>+</w:t>
      </w:r>
      <w:r>
        <w:rPr>
          <w:color w:val="000000"/>
          <w:sz w:val="18"/>
          <w:szCs w:val="18"/>
        </w:rPr>
        <w:t>GZMB</w:t>
      </w:r>
      <w:r w:rsidRPr="00A8205E">
        <w:rPr>
          <w:color w:val="000000"/>
          <w:sz w:val="18"/>
          <w:szCs w:val="18"/>
          <w:vertAlign w:val="superscript"/>
        </w:rPr>
        <w:t>+</w:t>
      </w:r>
      <w:r>
        <w:rPr>
          <w:color w:val="000000"/>
          <w:sz w:val="18"/>
          <w:szCs w:val="18"/>
        </w:rPr>
        <w:t>/CD4</w:t>
      </w:r>
      <w:r w:rsidRPr="00A8205E">
        <w:rPr>
          <w:color w:val="000000"/>
          <w:sz w:val="18"/>
          <w:szCs w:val="18"/>
          <w:vertAlign w:val="superscript"/>
        </w:rPr>
        <w:t>+</w:t>
      </w:r>
      <w:r>
        <w:rPr>
          <w:color w:val="000000"/>
          <w:sz w:val="18"/>
          <w:szCs w:val="18"/>
        </w:rPr>
        <w:t>FOXP3</w:t>
      </w:r>
      <w:r w:rsidRPr="00A8205E">
        <w:rPr>
          <w:color w:val="000000"/>
          <w:sz w:val="18"/>
          <w:szCs w:val="18"/>
          <w:vertAlign w:val="superscript"/>
        </w:rPr>
        <w:t xml:space="preserve">+ </w:t>
      </w:r>
      <w:r>
        <w:rPr>
          <w:color w:val="000000"/>
          <w:sz w:val="18"/>
          <w:szCs w:val="18"/>
        </w:rPr>
        <w:t>(CTL/T</w:t>
      </w:r>
      <w:r>
        <w:rPr>
          <w:color w:val="000000"/>
          <w:sz w:val="18"/>
          <w:szCs w:val="18"/>
          <w:vertAlign w:val="subscript"/>
        </w:rPr>
        <w:t>REG</w:t>
      </w:r>
      <w:r>
        <w:rPr>
          <w:color w:val="000000"/>
          <w:sz w:val="18"/>
          <w:szCs w:val="18"/>
        </w:rPr>
        <w:t>) and CD8</w:t>
      </w:r>
      <w:r w:rsidRPr="00A8205E">
        <w:rPr>
          <w:color w:val="000000"/>
          <w:sz w:val="18"/>
          <w:szCs w:val="18"/>
          <w:vertAlign w:val="superscript"/>
        </w:rPr>
        <w:t>+</w:t>
      </w:r>
      <w:r>
        <w:rPr>
          <w:color w:val="000000"/>
          <w:sz w:val="18"/>
          <w:szCs w:val="18"/>
        </w:rPr>
        <w:t>CD44</w:t>
      </w:r>
      <w:r w:rsidRPr="00A8205E">
        <w:rPr>
          <w:color w:val="000000"/>
          <w:sz w:val="18"/>
          <w:szCs w:val="18"/>
          <w:vertAlign w:val="superscript"/>
        </w:rPr>
        <w:t>+</w:t>
      </w:r>
      <w:r>
        <w:rPr>
          <w:color w:val="000000"/>
          <w:sz w:val="18"/>
          <w:szCs w:val="18"/>
        </w:rPr>
        <w:t>/CD4</w:t>
      </w:r>
      <w:r w:rsidRPr="00A8205E">
        <w:rPr>
          <w:color w:val="000000"/>
          <w:sz w:val="18"/>
          <w:szCs w:val="18"/>
          <w:vertAlign w:val="superscript"/>
        </w:rPr>
        <w:t>+</w:t>
      </w:r>
      <w:r>
        <w:rPr>
          <w:color w:val="000000"/>
          <w:sz w:val="18"/>
          <w:szCs w:val="18"/>
        </w:rPr>
        <w:t>CD44</w:t>
      </w:r>
      <w:r w:rsidRPr="00A8205E">
        <w:rPr>
          <w:color w:val="000000"/>
          <w:sz w:val="18"/>
          <w:szCs w:val="18"/>
          <w:vertAlign w:val="superscript"/>
        </w:rPr>
        <w:t>+</w:t>
      </w:r>
      <w:r>
        <w:rPr>
          <w:color w:val="000000"/>
          <w:sz w:val="18"/>
          <w:szCs w:val="18"/>
        </w:rPr>
        <w:t xml:space="preserve"> cells infiltrated in B16-F10-OVA analyzed by flow cytometry on day 10 (from left to right); N=7-8, median ± IQR. </w:t>
      </w:r>
      <w:r>
        <w:rPr>
          <w:b/>
          <w:color w:val="000000"/>
          <w:sz w:val="18"/>
          <w:szCs w:val="18"/>
        </w:rPr>
        <w:t>(E)</w:t>
      </w:r>
      <w:r>
        <w:rPr>
          <w:color w:val="000000"/>
          <w:sz w:val="18"/>
          <w:szCs w:val="18"/>
        </w:rPr>
        <w:t xml:space="preserve"> Checkpoint blockade therapy (CBT). WT and NOS2</w:t>
      </w:r>
      <w:r w:rsidRPr="00A8205E">
        <w:rPr>
          <w:color w:val="000000"/>
          <w:sz w:val="18"/>
          <w:szCs w:val="18"/>
          <w:vertAlign w:val="superscript"/>
        </w:rPr>
        <w:t>KO</w:t>
      </w:r>
      <w:r>
        <w:rPr>
          <w:color w:val="000000"/>
          <w:sz w:val="18"/>
          <w:szCs w:val="18"/>
        </w:rPr>
        <w:t xml:space="preserve"> animal bearing B16-F10-OVA tumors for 10 days were injected with 200 µg anti-PD-1 and anti-CTLA4 antibodies (WT+CBT and NOS2KO+CBT groups) and tumor growth analyzed until day 45. WT animals injected with isotype control antibodies were used as control (WT+control abs group). </w:t>
      </w:r>
      <w:r>
        <w:rPr>
          <w:b/>
          <w:color w:val="000000"/>
          <w:sz w:val="18"/>
          <w:szCs w:val="18"/>
        </w:rPr>
        <w:t xml:space="preserve">(F) </w:t>
      </w:r>
      <w:r>
        <w:rPr>
          <w:color w:val="000000"/>
          <w:sz w:val="18"/>
          <w:szCs w:val="18"/>
        </w:rPr>
        <w:t>​Tumor growth curves; thin lines represent individual animals and thick line represents an exponential (Malthusian) growth curve (left). Survival curves using 500mm</w:t>
      </w:r>
      <w:r w:rsidRPr="00A8205E">
        <w:rPr>
          <w:color w:val="000000"/>
          <w:sz w:val="18"/>
          <w:szCs w:val="18"/>
          <w:vertAlign w:val="superscript"/>
        </w:rPr>
        <w:t>3</w:t>
      </w:r>
      <w:r>
        <w:rPr>
          <w:color w:val="000000"/>
          <w:sz w:val="18"/>
          <w:szCs w:val="18"/>
        </w:rPr>
        <w:t xml:space="preserve"> as threshold (bottom); N=4-9 animals per group. Each data point represents an individual animal; ns P&gt;0.05, ** ​P&lt;0.01: Mann-Whitney test relative to WT control (D) and log-rank (Mantel-Cox) test relative WT controls (F).</w:t>
      </w:r>
    </w:p>
    <w:p w14:paraId="0FAFBD94" w14:textId="77777777" w:rsidR="00660C45" w:rsidRDefault="00660C45" w:rsidP="00660C45">
      <w:pPr>
        <w:suppressLineNumbers/>
      </w:pPr>
      <w:bookmarkStart w:id="3" w:name="_vxipazwtmu16" w:colFirst="0" w:colLast="0"/>
      <w:bookmarkEnd w:id="3"/>
    </w:p>
    <w:p w14:paraId="64088299" w14:textId="77777777" w:rsidR="00660C45" w:rsidRDefault="00660C45" w:rsidP="00660C45">
      <w:pPr>
        <w:pStyle w:val="Heading5"/>
        <w:suppressLineNumbers/>
        <w:spacing w:line="276" w:lineRule="auto"/>
        <w:rPr>
          <w:sz w:val="18"/>
          <w:szCs w:val="18"/>
        </w:rPr>
      </w:pPr>
      <w:bookmarkStart w:id="4" w:name="_b5xwgxgiivqv" w:colFirst="0" w:colLast="0"/>
      <w:bookmarkStart w:id="5" w:name="_i41q7c62p4c3" w:colFirst="0" w:colLast="0"/>
      <w:bookmarkEnd w:id="4"/>
      <w:bookmarkEnd w:id="5"/>
      <w:r>
        <w:rPr>
          <w:b/>
          <w:noProof/>
          <w:color w:val="000000"/>
          <w:sz w:val="18"/>
          <w:szCs w:val="18"/>
        </w:rPr>
        <w:lastRenderedPageBreak/>
        <w:drawing>
          <wp:inline distT="0" distB="0" distL="0" distR="0" wp14:anchorId="41B1140F" wp14:editId="415B5B1E">
            <wp:extent cx="6298565" cy="5690870"/>
            <wp:effectExtent l="0" t="0" r="6985" b="508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8565" cy="5690870"/>
                    </a:xfrm>
                    <a:prstGeom prst="rect">
                      <a:avLst/>
                    </a:prstGeom>
                  </pic:spPr>
                </pic:pic>
              </a:graphicData>
            </a:graphic>
          </wp:inline>
        </w:drawing>
      </w:r>
      <w:r>
        <w:rPr>
          <w:b/>
          <w:color w:val="000000"/>
          <w:sz w:val="18"/>
          <w:szCs w:val="18"/>
        </w:rPr>
        <w:t xml:space="preserve">Figure S5. </w:t>
      </w:r>
      <w:r w:rsidRPr="00EA68CB">
        <w:rPr>
          <w:b/>
          <w:i/>
          <w:iCs/>
          <w:color w:val="000000"/>
          <w:sz w:val="18"/>
          <w:szCs w:val="18"/>
        </w:rPr>
        <w:t>In vivo</w:t>
      </w:r>
      <w:r>
        <w:rPr>
          <w:b/>
          <w:color w:val="000000"/>
          <w:sz w:val="18"/>
          <w:szCs w:val="18"/>
        </w:rPr>
        <w:t xml:space="preserve"> differentiation and function of T cells with altered levels of NOS2. </w:t>
      </w:r>
      <w:r>
        <w:rPr>
          <w:color w:val="000000"/>
          <w:sz w:val="18"/>
          <w:szCs w:val="18"/>
        </w:rPr>
        <w:t xml:space="preserve"> </w:t>
      </w:r>
      <w:r>
        <w:rPr>
          <w:b/>
          <w:color w:val="000000"/>
          <w:sz w:val="18"/>
          <w:szCs w:val="18"/>
        </w:rPr>
        <w:t>(A)</w:t>
      </w:r>
      <w:r>
        <w:rPr>
          <w:color w:val="000000"/>
          <w:sz w:val="18"/>
          <w:szCs w:val="18"/>
        </w:rPr>
        <w:t xml:space="preserve"> Gating strategy for immune cell infiltration in tumor samples relative to Fig. 5. </w:t>
      </w:r>
      <w:r>
        <w:rPr>
          <w:b/>
          <w:color w:val="000000"/>
          <w:sz w:val="18"/>
          <w:szCs w:val="18"/>
        </w:rPr>
        <w:t>(B)</w:t>
      </w:r>
      <w:r>
        <w:rPr>
          <w:color w:val="000000"/>
          <w:sz w:val="18"/>
          <w:szCs w:val="18"/>
        </w:rPr>
        <w:t xml:space="preserve"> OT-I cell counts per amount of tissue analyzed by flow cytometry on day 19; N=19-22, median ± IQR. </w:t>
      </w:r>
      <w:r>
        <w:rPr>
          <w:b/>
          <w:color w:val="000000"/>
          <w:sz w:val="18"/>
          <w:szCs w:val="18"/>
        </w:rPr>
        <w:t>(C)</w:t>
      </w:r>
      <w:r>
        <w:rPr>
          <w:color w:val="000000"/>
          <w:sz w:val="18"/>
          <w:szCs w:val="18"/>
        </w:rPr>
        <w:t xml:space="preserve"> MFI of differentiation markers in CD8+ T cells infiltrated in tumors, spleen, blood and liver on day 19 analyzed by flow cytometry; N=19-22, median ± IQR. </w:t>
      </w:r>
      <w:r>
        <w:rPr>
          <w:b/>
          <w:color w:val="000000"/>
          <w:sz w:val="18"/>
          <w:szCs w:val="18"/>
        </w:rPr>
        <w:t xml:space="preserve">(D) </w:t>
      </w:r>
      <w:r>
        <w:rPr>
          <w:color w:val="000000"/>
          <w:sz w:val="18"/>
          <w:szCs w:val="18"/>
        </w:rPr>
        <w:t>Adoptive cell therapy (ACT) model.</w:t>
      </w:r>
      <w:r>
        <w:rPr>
          <w:b/>
          <w:color w:val="000000"/>
          <w:sz w:val="18"/>
          <w:szCs w:val="18"/>
        </w:rPr>
        <w:t xml:space="preserve"> </w:t>
      </w:r>
      <w:r>
        <w:rPr>
          <w:color w:val="000000"/>
          <w:sz w:val="18"/>
          <w:szCs w:val="18"/>
        </w:rPr>
        <w:t>C57BL/6j mice were injected subcutaneously with 5×10​</w:t>
      </w:r>
      <w:r>
        <w:rPr>
          <w:color w:val="000000"/>
          <w:sz w:val="18"/>
          <w:szCs w:val="18"/>
          <w:vertAlign w:val="superscript"/>
        </w:rPr>
        <w:t>5</w:t>
      </w:r>
      <w:r>
        <w:rPr>
          <w:color w:val="000000"/>
          <w:sz w:val="18"/>
          <w:szCs w:val="18"/>
        </w:rPr>
        <w:t xml:space="preserve"> OVA-expressing B16-F10 tumor cells and 4 days later were lymphodepleted with 300 mg/kg cyclophosphamide (CPA). Mice bearing tumors for 7 days were then intraperitoneally injected with 5×10​</w:t>
      </w:r>
      <w:r>
        <w:rPr>
          <w:color w:val="000000"/>
          <w:sz w:val="18"/>
          <w:szCs w:val="18"/>
          <w:vertAlign w:val="superscript"/>
        </w:rPr>
        <w:t>5</w:t>
      </w:r>
      <w:r>
        <w:rPr>
          <w:color w:val="000000"/>
          <w:sz w:val="18"/>
          <w:szCs w:val="18"/>
        </w:rPr>
        <w:t xml:space="preserve"> of 4 days activated WT OT-I CD8</w:t>
      </w:r>
      <w:r>
        <w:rPr>
          <w:color w:val="000000"/>
          <w:sz w:val="18"/>
          <w:szCs w:val="18"/>
          <w:vertAlign w:val="superscript"/>
        </w:rPr>
        <w:t>+</w:t>
      </w:r>
      <w:r>
        <w:rPr>
          <w:color w:val="000000"/>
          <w:sz w:val="18"/>
          <w:szCs w:val="18"/>
        </w:rPr>
        <w:t>T cells transduced 3 days prior to ACT with VC or with NOS2</w:t>
      </w:r>
      <w:r>
        <w:rPr>
          <w:color w:val="000000"/>
          <w:sz w:val="18"/>
          <w:szCs w:val="18"/>
          <w:vertAlign w:val="superscript"/>
        </w:rPr>
        <w:t>OE</w:t>
      </w:r>
      <w:r>
        <w:rPr>
          <w:color w:val="000000"/>
          <w:sz w:val="18"/>
          <w:szCs w:val="18"/>
        </w:rPr>
        <w:t xml:space="preserve"> vector (NOS2</w:t>
      </w:r>
      <w:r>
        <w:rPr>
          <w:color w:val="000000"/>
          <w:sz w:val="18"/>
          <w:szCs w:val="18"/>
          <w:vertAlign w:val="superscript"/>
        </w:rPr>
        <w:t xml:space="preserve">OE </w:t>
      </w:r>
      <w:r>
        <w:rPr>
          <w:color w:val="000000"/>
          <w:sz w:val="18"/>
          <w:szCs w:val="18"/>
        </w:rPr>
        <w:t xml:space="preserve">cells). Peripheral blood was sampled 14 after ACT and analyzed by flow cytometry. tumor growth was monitored every 2-3 days until day 50. </w:t>
      </w:r>
      <w:r>
        <w:rPr>
          <w:b/>
          <w:color w:val="000000"/>
          <w:sz w:val="18"/>
          <w:szCs w:val="18"/>
        </w:rPr>
        <w:t>(E)</w:t>
      </w:r>
      <w:r>
        <w:rPr>
          <w:color w:val="000000"/>
          <w:sz w:val="18"/>
          <w:szCs w:val="18"/>
        </w:rPr>
        <w:t xml:space="preserve"> Representative flow cytometry plots (left) and frequency of adoptively transferred OT-I cells per milliliter of peripheral blood (right) analyzed 14 days after ACT. Cells pre-gated on live, singlet, CD45</w:t>
      </w:r>
      <w:r>
        <w:rPr>
          <w:color w:val="000000"/>
          <w:sz w:val="18"/>
          <w:szCs w:val="18"/>
          <w:vertAlign w:val="superscript"/>
        </w:rPr>
        <w:t>+</w:t>
      </w:r>
      <w:r>
        <w:rPr>
          <w:color w:val="000000"/>
          <w:sz w:val="18"/>
          <w:szCs w:val="18"/>
        </w:rPr>
        <w:t xml:space="preserve"> events; median ± IQR, N=6-11. </w:t>
      </w:r>
      <w:r>
        <w:rPr>
          <w:b/>
          <w:color w:val="000000"/>
          <w:sz w:val="18"/>
          <w:szCs w:val="18"/>
        </w:rPr>
        <w:t>(F)</w:t>
      </w:r>
      <w:r>
        <w:rPr>
          <w:color w:val="000000"/>
          <w:sz w:val="18"/>
          <w:szCs w:val="18"/>
        </w:rPr>
        <w:t xml:space="preserve"> B16-F10-OVA tumor growth after ACT. ​Tumor growth curves after No ACT or ACT with VC or NOS2</w:t>
      </w:r>
      <w:r>
        <w:rPr>
          <w:color w:val="000000"/>
          <w:sz w:val="18"/>
          <w:szCs w:val="18"/>
          <w:vertAlign w:val="superscript"/>
        </w:rPr>
        <w:t>OE</w:t>
      </w:r>
      <w:r>
        <w:rPr>
          <w:color w:val="000000"/>
          <w:sz w:val="18"/>
          <w:szCs w:val="18"/>
        </w:rPr>
        <w:t xml:space="preserve"> OT-I cells; vertical dotted lines represent day of ACT, thin lines represent individual animals and thick line represents an exponential (Malthusian) growth curve (left). Survival curves using 500mm</w:t>
      </w:r>
      <w:r>
        <w:rPr>
          <w:color w:val="000000"/>
          <w:sz w:val="18"/>
          <w:szCs w:val="18"/>
          <w:vertAlign w:val="superscript"/>
        </w:rPr>
        <w:t>3</w:t>
      </w:r>
      <w:r>
        <w:rPr>
          <w:color w:val="000000"/>
          <w:sz w:val="18"/>
          <w:szCs w:val="18"/>
        </w:rPr>
        <w:t xml:space="preserve"> as threshold (right); N=6-11 animals per group. Each datapoint represents an independent animal; ns P&gt;0.05, * P&lt;0.05, ** P&lt;0.01, *** P&lt;0.01, Wilcoxon matched-pairs signed-rank test (B and C), Kruskal-Walis test with multiple comparisons corrected with Dunn’s test (E), log-rank (Mantel-Cox) test relative to 21% O</w:t>
      </w:r>
      <w:r>
        <w:rPr>
          <w:color w:val="000000"/>
          <w:sz w:val="18"/>
          <w:szCs w:val="18"/>
          <w:vertAlign w:val="subscript"/>
        </w:rPr>
        <w:t>2</w:t>
      </w:r>
      <w:r>
        <w:rPr>
          <w:color w:val="000000"/>
          <w:sz w:val="18"/>
          <w:szCs w:val="18"/>
        </w:rPr>
        <w:t xml:space="preserve"> or No t cell groups (F).</w:t>
      </w:r>
    </w:p>
    <w:p w14:paraId="35870B63" w14:textId="77777777" w:rsidR="00660C45" w:rsidRDefault="00660C45" w:rsidP="00660C45">
      <w:pPr>
        <w:suppressLineNumbers/>
      </w:pPr>
      <w:bookmarkStart w:id="6" w:name="_lfaxjzfufnhu" w:colFirst="0" w:colLast="0"/>
      <w:bookmarkEnd w:id="6"/>
    </w:p>
    <w:p w14:paraId="18CCACB5" w14:textId="77777777" w:rsidR="00660C45" w:rsidRDefault="00660C45" w:rsidP="00660C45">
      <w:pPr>
        <w:suppressLineNumbers/>
      </w:pPr>
      <w:bookmarkStart w:id="7" w:name="_717m9oqhb3gv" w:colFirst="0" w:colLast="0"/>
      <w:bookmarkEnd w:id="7"/>
    </w:p>
    <w:p w14:paraId="7F0A6A20" w14:textId="77777777" w:rsidR="00660C45" w:rsidRDefault="00660C45" w:rsidP="00660C45">
      <w:pPr>
        <w:suppressLineNumbers/>
      </w:pPr>
      <w:bookmarkStart w:id="8" w:name="_wqvhwilgqjsf" w:colFirst="0" w:colLast="0"/>
      <w:bookmarkEnd w:id="8"/>
    </w:p>
    <w:p w14:paraId="4D964DAD" w14:textId="77777777" w:rsidR="00660C45" w:rsidRDefault="00660C45" w:rsidP="00660C45">
      <w:pPr>
        <w:pStyle w:val="Heading5"/>
        <w:suppressLineNumbers/>
        <w:spacing w:line="276" w:lineRule="auto"/>
        <w:rPr>
          <w:b/>
          <w:color w:val="000000"/>
          <w:sz w:val="18"/>
          <w:szCs w:val="18"/>
        </w:rPr>
      </w:pPr>
      <w:bookmarkStart w:id="9" w:name="_9onsywue2lr0" w:colFirst="0" w:colLast="0"/>
      <w:bookmarkEnd w:id="9"/>
      <w:r>
        <w:rPr>
          <w:b/>
          <w:noProof/>
          <w:color w:val="000000"/>
          <w:sz w:val="18"/>
          <w:szCs w:val="18"/>
        </w:rPr>
        <w:lastRenderedPageBreak/>
        <w:drawing>
          <wp:inline distT="0" distB="0" distL="0" distR="0" wp14:anchorId="68C3554E" wp14:editId="28AC6F26">
            <wp:extent cx="6298565" cy="2776220"/>
            <wp:effectExtent l="0" t="0" r="6985" b="508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8565" cy="2776220"/>
                    </a:xfrm>
                    <a:prstGeom prst="rect">
                      <a:avLst/>
                    </a:prstGeom>
                  </pic:spPr>
                </pic:pic>
              </a:graphicData>
            </a:graphic>
          </wp:inline>
        </w:drawing>
      </w:r>
      <w:r w:rsidRPr="002A42A5">
        <w:rPr>
          <w:b/>
          <w:color w:val="000000"/>
          <w:sz w:val="18"/>
          <w:szCs w:val="18"/>
        </w:rPr>
        <w:t xml:space="preserve"> </w:t>
      </w:r>
      <w:r>
        <w:rPr>
          <w:b/>
          <w:color w:val="000000"/>
          <w:sz w:val="18"/>
          <w:szCs w:val="18"/>
        </w:rPr>
        <w:t xml:space="preserve">Figure S6. </w:t>
      </w:r>
      <w:r>
        <w:rPr>
          <w:b/>
          <w:i/>
          <w:color w:val="000000"/>
          <w:sz w:val="18"/>
          <w:szCs w:val="18"/>
        </w:rPr>
        <w:t>In vivo</w:t>
      </w:r>
      <w:r>
        <w:rPr>
          <w:b/>
          <w:color w:val="000000"/>
          <w:sz w:val="18"/>
          <w:szCs w:val="18"/>
        </w:rPr>
        <w:t xml:space="preserve"> activation and recall response of NOS2</w:t>
      </w:r>
      <w:r>
        <w:rPr>
          <w:b/>
          <w:color w:val="000000"/>
          <w:sz w:val="18"/>
          <w:szCs w:val="18"/>
          <w:vertAlign w:val="superscript"/>
        </w:rPr>
        <w:t>KO</w:t>
      </w:r>
      <w:r>
        <w:rPr>
          <w:b/>
          <w:color w:val="000000"/>
          <w:sz w:val="18"/>
          <w:szCs w:val="18"/>
        </w:rPr>
        <w:t xml:space="preserve"> OT-I CD8+ T cells. (A)</w:t>
      </w:r>
      <w:r>
        <w:rPr>
          <w:color w:val="000000"/>
          <w:sz w:val="18"/>
          <w:szCs w:val="18"/>
        </w:rPr>
        <w:t xml:space="preserve"> Gating strategy on lymph node tissue referring to Fig. 6. </w:t>
      </w:r>
      <w:r>
        <w:rPr>
          <w:b/>
          <w:color w:val="000000"/>
          <w:sz w:val="18"/>
          <w:szCs w:val="18"/>
        </w:rPr>
        <w:t>(B)</w:t>
      </w:r>
      <w:r>
        <w:rPr>
          <w:color w:val="000000"/>
          <w:sz w:val="18"/>
          <w:szCs w:val="18"/>
        </w:rPr>
        <w:t xml:space="preserve"> </w:t>
      </w:r>
      <w:r w:rsidRPr="00EA68CB">
        <w:rPr>
          <w:color w:val="000000"/>
          <w:sz w:val="18"/>
          <w:szCs w:val="18"/>
        </w:rPr>
        <w:t>Proportion of WT and NOS2</w:t>
      </w:r>
      <w:r w:rsidRPr="00EA68CB">
        <w:rPr>
          <w:color w:val="000000"/>
          <w:sz w:val="18"/>
          <w:szCs w:val="18"/>
          <w:vertAlign w:val="superscript"/>
        </w:rPr>
        <w:t>KO</w:t>
      </w:r>
      <w:r w:rsidRPr="00EA68CB">
        <w:rPr>
          <w:color w:val="000000"/>
          <w:sz w:val="18"/>
          <w:szCs w:val="18"/>
        </w:rPr>
        <w:t xml:space="preserve"> cells injected in each animal on day 0. </w:t>
      </w:r>
      <w:r w:rsidRPr="00EA68CB">
        <w:rPr>
          <w:b/>
          <w:color w:val="000000"/>
          <w:sz w:val="18"/>
          <w:szCs w:val="18"/>
        </w:rPr>
        <w:t>(C)</w:t>
      </w:r>
      <w:r w:rsidRPr="00EA68CB">
        <w:rPr>
          <w:color w:val="000000"/>
          <w:sz w:val="18"/>
          <w:szCs w:val="18"/>
        </w:rPr>
        <w:t xml:space="preserve"> Expansion in the blood on days 7 and 10 of KO cells relative to WT cells; N=18-23. Results are pooled from three independent experiments and each data point represents an independent animal. </w:t>
      </w:r>
      <w:r w:rsidRPr="00EA68CB">
        <w:rPr>
          <w:b/>
          <w:bCs/>
          <w:color w:val="000000"/>
          <w:sz w:val="18"/>
          <w:szCs w:val="18"/>
        </w:rPr>
        <w:t>(D)</w:t>
      </w:r>
      <w:r w:rsidRPr="00EA68CB">
        <w:rPr>
          <w:color w:val="000000"/>
          <w:sz w:val="18"/>
          <w:szCs w:val="18"/>
        </w:rPr>
        <w:t xml:space="preserve"> Recall response as determined by amount of total WT and NOS2</w:t>
      </w:r>
      <w:r w:rsidRPr="00EA68CB">
        <w:rPr>
          <w:color w:val="000000"/>
          <w:sz w:val="18"/>
          <w:szCs w:val="18"/>
          <w:vertAlign w:val="superscript"/>
        </w:rPr>
        <w:t>KO</w:t>
      </w:r>
      <w:r w:rsidRPr="00EA68CB">
        <w:rPr>
          <w:color w:val="000000"/>
          <w:sz w:val="18"/>
          <w:szCs w:val="18"/>
        </w:rPr>
        <w:t xml:space="preserve"> OT-I T cells per million CD45</w:t>
      </w:r>
      <w:r w:rsidRPr="00EA68CB">
        <w:rPr>
          <w:color w:val="000000"/>
          <w:sz w:val="18"/>
          <w:szCs w:val="18"/>
          <w:vertAlign w:val="superscript"/>
        </w:rPr>
        <w:t>+</w:t>
      </w:r>
      <w:r w:rsidRPr="00EA68CB">
        <w:rPr>
          <w:color w:val="000000"/>
          <w:sz w:val="18"/>
          <w:szCs w:val="18"/>
        </w:rPr>
        <w:t xml:space="preserve"> cells infiltrated in the spleen, lymph node and liver 7 days after recall with BMDM or PBS control; N=9-18</w:t>
      </w:r>
      <w:r>
        <w:rPr>
          <w:color w:val="000000"/>
          <w:sz w:val="18"/>
          <w:szCs w:val="18"/>
        </w:rPr>
        <w:t>, median ± IQR</w:t>
      </w:r>
      <w:r w:rsidRPr="00EA68CB">
        <w:rPr>
          <w:color w:val="000000"/>
          <w:sz w:val="18"/>
          <w:szCs w:val="18"/>
        </w:rPr>
        <w:t>. * P&lt;0.05, *** P&lt;0.001: Tukey's multiple comparisons paired test: ## P&lt;0.01, ### P&lt;0.001, Unpaired T-test.</w:t>
      </w:r>
    </w:p>
    <w:p w14:paraId="1A2ED006" w14:textId="77777777" w:rsidR="00660C45" w:rsidRDefault="00660C45" w:rsidP="00660C45">
      <w:pPr>
        <w:suppressLineNumbers/>
        <w:spacing w:line="360" w:lineRule="auto"/>
      </w:pPr>
    </w:p>
    <w:p w14:paraId="10EF386B" w14:textId="77777777" w:rsidR="00660C45" w:rsidRDefault="00660C45" w:rsidP="00660C45">
      <w:pPr>
        <w:suppressLineNumbers/>
        <w:spacing w:line="360" w:lineRule="auto"/>
      </w:pPr>
    </w:p>
    <w:p w14:paraId="44542A3A" w14:textId="77777777" w:rsidR="00660C45" w:rsidRDefault="00660C45" w:rsidP="00660C45">
      <w:pPr>
        <w:suppressLineNumbers/>
        <w:spacing w:line="360" w:lineRule="auto"/>
      </w:pPr>
    </w:p>
    <w:p w14:paraId="6BE4C63D" w14:textId="77777777" w:rsidR="00660C45" w:rsidRDefault="00660C45" w:rsidP="00660C45">
      <w:pPr>
        <w:suppressLineNumbers/>
        <w:spacing w:line="360" w:lineRule="auto"/>
      </w:pPr>
    </w:p>
    <w:p w14:paraId="429603D4" w14:textId="77777777" w:rsidR="00660C45" w:rsidRDefault="00660C45" w:rsidP="00660C45">
      <w:pPr>
        <w:suppressLineNumbers/>
        <w:spacing w:line="360" w:lineRule="auto"/>
      </w:pPr>
    </w:p>
    <w:p w14:paraId="101DA4A0" w14:textId="77777777" w:rsidR="00660C45" w:rsidRDefault="00660C45" w:rsidP="00660C45">
      <w:pPr>
        <w:suppressLineNumbers/>
        <w:spacing w:line="360" w:lineRule="auto"/>
      </w:pPr>
    </w:p>
    <w:p w14:paraId="5C4141F9" w14:textId="77777777" w:rsidR="00660C45" w:rsidRDefault="00660C45" w:rsidP="00660C45">
      <w:pPr>
        <w:suppressLineNumbers/>
      </w:pPr>
      <w:bookmarkStart w:id="10" w:name="_he5x0wk3vcyx" w:colFirst="0" w:colLast="0"/>
      <w:bookmarkEnd w:id="10"/>
    </w:p>
    <w:p w14:paraId="4E8CE1F8" w14:textId="77777777" w:rsidR="00660C45" w:rsidRDefault="00660C45" w:rsidP="00660C45">
      <w:pPr>
        <w:suppressLineNumbers/>
      </w:pPr>
      <w:r>
        <w:br w:type="page"/>
      </w:r>
    </w:p>
    <w:p w14:paraId="5C4005E9" w14:textId="4E305411" w:rsidR="00660C45" w:rsidRDefault="00660C45" w:rsidP="00660C45">
      <w:bookmarkStart w:id="11" w:name="_xl0fzoq840vl" w:colFirst="0" w:colLast="0"/>
      <w:bookmarkEnd w:id="11"/>
      <w:r>
        <w:lastRenderedPageBreak/>
        <w:br w:type="page"/>
      </w:r>
    </w:p>
    <w:p w14:paraId="1F2FB4A8" w14:textId="77777777" w:rsidR="00660C45" w:rsidRDefault="00660C45" w:rsidP="00660C45">
      <w:pPr>
        <w:pStyle w:val="Heading1"/>
        <w:suppressLineNumbers/>
        <w:jc w:val="center"/>
      </w:pPr>
      <w:bookmarkStart w:id="12" w:name="_l0bcf57v4l54" w:colFirst="0" w:colLast="0"/>
      <w:bookmarkEnd w:id="12"/>
      <w:r>
        <w:lastRenderedPageBreak/>
        <w:t>Supplementary Tables</w:t>
      </w:r>
    </w:p>
    <w:p w14:paraId="043251EC" w14:textId="095C23A9" w:rsidR="00660C45" w:rsidRDefault="00660C45" w:rsidP="00660C45">
      <w:pPr>
        <w:suppressLineNumbers/>
      </w:pPr>
      <w:r>
        <w:rPr>
          <w:noProof/>
        </w:rPr>
        <w:drawing>
          <wp:inline distT="114300" distB="114300" distL="114300" distR="114300" wp14:anchorId="7A30C829" wp14:editId="3C7BD869">
            <wp:extent cx="6222022" cy="2409825"/>
            <wp:effectExtent l="0" t="0" r="7620" b="0"/>
            <wp:docPr id="8"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Table&#10;&#10;Description automatically generated"/>
                    <pic:cNvPicPr preferRelativeResize="0"/>
                  </pic:nvPicPr>
                  <pic:blipFill>
                    <a:blip r:embed="rId13"/>
                    <a:srcRect/>
                    <a:stretch>
                      <a:fillRect/>
                    </a:stretch>
                  </pic:blipFill>
                  <pic:spPr>
                    <a:xfrm>
                      <a:off x="0" y="0"/>
                      <a:ext cx="6241218" cy="2417260"/>
                    </a:xfrm>
                    <a:prstGeom prst="rect">
                      <a:avLst/>
                    </a:prstGeom>
                    <a:ln/>
                  </pic:spPr>
                </pic:pic>
              </a:graphicData>
            </a:graphic>
          </wp:inline>
        </w:drawing>
      </w:r>
    </w:p>
    <w:p w14:paraId="197D89C0" w14:textId="77777777" w:rsidR="00660C45" w:rsidRDefault="00660C45" w:rsidP="00660C45">
      <w:pPr>
        <w:suppressLineNumbers/>
      </w:pPr>
      <w:bookmarkStart w:id="13" w:name="_deoc0l9kblei" w:colFirst="0" w:colLast="0"/>
      <w:bookmarkEnd w:id="13"/>
      <w:r>
        <w:rPr>
          <w:noProof/>
        </w:rPr>
        <w:drawing>
          <wp:inline distT="114300" distB="114300" distL="114300" distR="114300" wp14:anchorId="42FEE7A3" wp14:editId="480937F9">
            <wp:extent cx="6308517" cy="3429000"/>
            <wp:effectExtent l="0" t="0" r="0" b="0"/>
            <wp:docPr id="12"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png" descr="Table&#10;&#10;Description automatically generated"/>
                    <pic:cNvPicPr preferRelativeResize="0"/>
                  </pic:nvPicPr>
                  <pic:blipFill>
                    <a:blip r:embed="rId14"/>
                    <a:srcRect/>
                    <a:stretch>
                      <a:fillRect/>
                    </a:stretch>
                  </pic:blipFill>
                  <pic:spPr>
                    <a:xfrm>
                      <a:off x="0" y="0"/>
                      <a:ext cx="6328726" cy="3439985"/>
                    </a:xfrm>
                    <a:prstGeom prst="rect">
                      <a:avLst/>
                    </a:prstGeom>
                    <a:ln/>
                  </pic:spPr>
                </pic:pic>
              </a:graphicData>
            </a:graphic>
          </wp:inline>
        </w:drawing>
      </w:r>
    </w:p>
    <w:p w14:paraId="001A5B61" w14:textId="77777777" w:rsidR="00660C45" w:rsidRDefault="00660C45" w:rsidP="00660C45">
      <w:pPr>
        <w:suppressLineNumbers/>
        <w:spacing w:line="276" w:lineRule="auto"/>
        <w:jc w:val="left"/>
      </w:pPr>
      <w:r>
        <w:br w:type="page"/>
      </w:r>
    </w:p>
    <w:p w14:paraId="77E78102" w14:textId="2989B558" w:rsidR="005D00B0" w:rsidRPr="00EA3DE5" w:rsidRDefault="00660C45" w:rsidP="00660C45">
      <w:pPr>
        <w:widowControl w:val="0"/>
        <w:pBdr>
          <w:top w:val="nil"/>
          <w:left w:val="nil"/>
          <w:bottom w:val="nil"/>
          <w:right w:val="nil"/>
          <w:between w:val="nil"/>
        </w:pBdr>
        <w:jc w:val="left"/>
        <w:rPr>
          <w:color w:val="000000"/>
        </w:rPr>
      </w:pPr>
      <w:r w:rsidRPr="004F14F2">
        <w:rPr>
          <w:b/>
          <w:bCs/>
          <w:color w:val="1A1A1A"/>
          <w:shd w:val="clear" w:color="auto" w:fill="FFFFFF"/>
        </w:rPr>
        <w:lastRenderedPageBreak/>
        <w:t>Uncropped versions of western blots</w:t>
      </w:r>
      <w:r>
        <w:rPr>
          <w:b/>
          <w:bCs/>
          <w:noProof/>
        </w:rPr>
        <w:drawing>
          <wp:inline distT="0" distB="0" distL="0" distR="0" wp14:anchorId="24B52A8B" wp14:editId="552DDD3A">
            <wp:extent cx="6298565" cy="8744585"/>
            <wp:effectExtent l="0" t="0" r="698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8565" cy="8744585"/>
                    </a:xfrm>
                    <a:prstGeom prst="rect">
                      <a:avLst/>
                    </a:prstGeom>
                  </pic:spPr>
                </pic:pic>
              </a:graphicData>
            </a:graphic>
          </wp:inline>
        </w:drawing>
      </w:r>
      <w:r>
        <w:rPr>
          <w:b/>
          <w:bCs/>
          <w:noProof/>
        </w:rPr>
        <w:lastRenderedPageBreak/>
        <w:drawing>
          <wp:inline distT="0" distB="0" distL="0" distR="0" wp14:anchorId="22FEC99C" wp14:editId="3BBC0424">
            <wp:extent cx="6298565" cy="8835390"/>
            <wp:effectExtent l="0" t="0" r="6985" b="381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8565" cy="8835390"/>
                    </a:xfrm>
                    <a:prstGeom prst="rect">
                      <a:avLst/>
                    </a:prstGeom>
                  </pic:spPr>
                </pic:pic>
              </a:graphicData>
            </a:graphic>
          </wp:inline>
        </w:drawing>
      </w:r>
    </w:p>
    <w:sectPr w:rsidR="005D00B0" w:rsidRPr="00EA3DE5">
      <w:footerReference w:type="default" r:id="rId17"/>
      <w:pgSz w:w="11909" w:h="16834"/>
      <w:pgMar w:top="1133" w:right="998" w:bottom="1248"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F232" w14:textId="77777777" w:rsidR="008F516C" w:rsidRDefault="008F516C">
      <w:pPr>
        <w:spacing w:line="240" w:lineRule="auto"/>
      </w:pPr>
      <w:r>
        <w:separator/>
      </w:r>
    </w:p>
  </w:endnote>
  <w:endnote w:type="continuationSeparator" w:id="0">
    <w:p w14:paraId="393DB935" w14:textId="77777777" w:rsidR="008F516C" w:rsidRDefault="008F5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348A" w14:textId="77777777" w:rsidR="00460506" w:rsidRDefault="00664707">
    <w:pPr>
      <w:jc w:val="right"/>
    </w:pPr>
    <w:r>
      <w:fldChar w:fldCharType="begin"/>
    </w:r>
    <w:r>
      <w:instrText>PAGE</w:instrText>
    </w:r>
    <w:r>
      <w:fldChar w:fldCharType="separate"/>
    </w:r>
    <w:r w:rsidR="00200A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06EB" w14:textId="77777777" w:rsidR="008F516C" w:rsidRDefault="008F516C">
      <w:pPr>
        <w:spacing w:line="240" w:lineRule="auto"/>
      </w:pPr>
      <w:r>
        <w:separator/>
      </w:r>
    </w:p>
  </w:footnote>
  <w:footnote w:type="continuationSeparator" w:id="0">
    <w:p w14:paraId="073D4591" w14:textId="77777777" w:rsidR="008F516C" w:rsidRDefault="008F516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506"/>
    <w:rsid w:val="001B1752"/>
    <w:rsid w:val="001B64DF"/>
    <w:rsid w:val="00200AF7"/>
    <w:rsid w:val="002B5C79"/>
    <w:rsid w:val="00372B72"/>
    <w:rsid w:val="00396D4B"/>
    <w:rsid w:val="003E3F3D"/>
    <w:rsid w:val="00460506"/>
    <w:rsid w:val="004C3EC5"/>
    <w:rsid w:val="005A5EA8"/>
    <w:rsid w:val="005D00B0"/>
    <w:rsid w:val="005F0D6B"/>
    <w:rsid w:val="00660C45"/>
    <w:rsid w:val="00664707"/>
    <w:rsid w:val="006B3700"/>
    <w:rsid w:val="006B481D"/>
    <w:rsid w:val="006D09BD"/>
    <w:rsid w:val="00876F2E"/>
    <w:rsid w:val="008F516C"/>
    <w:rsid w:val="00956ED5"/>
    <w:rsid w:val="009852BC"/>
    <w:rsid w:val="009A2A5B"/>
    <w:rsid w:val="009A4A82"/>
    <w:rsid w:val="009B4D1B"/>
    <w:rsid w:val="009E169D"/>
    <w:rsid w:val="00B45945"/>
    <w:rsid w:val="00B71CDB"/>
    <w:rsid w:val="00BB1517"/>
    <w:rsid w:val="00D574F5"/>
    <w:rsid w:val="00EA3DE5"/>
    <w:rsid w:val="00F75651"/>
    <w:rsid w:val="00FF4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946A0"/>
  <w15:docId w15:val="{153AB643-0741-4B18-BDCB-0EE7498C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en-GB"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660C4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35507-A9A7-43B6-8CD7-F0693DD80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Adriana D. Benavides, PhD</cp:lastModifiedBy>
  <cp:revision>5</cp:revision>
  <cp:lastPrinted>2022-09-13T19:26:00Z</cp:lastPrinted>
  <dcterms:created xsi:type="dcterms:W3CDTF">2022-11-21T13:39:00Z</dcterms:created>
  <dcterms:modified xsi:type="dcterms:W3CDTF">2022-12-20T15:56:00Z</dcterms:modified>
</cp:coreProperties>
</file>