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5BBF64" w14:textId="05ED39EC" w:rsidR="004B7981" w:rsidRDefault="004B7981" w:rsidP="0072248E">
      <w:pPr>
        <w:pStyle w:val="Paragraph"/>
        <w:spacing w:line="480" w:lineRule="auto"/>
        <w:ind w:firstLine="0"/>
        <w:jc w:val="both"/>
        <w:rPr>
          <w:b/>
        </w:rPr>
      </w:pPr>
      <w:r w:rsidRPr="002071D9">
        <w:rPr>
          <w:b/>
        </w:rPr>
        <w:t xml:space="preserve">Supplementary </w:t>
      </w:r>
      <w:r w:rsidR="00D0399E">
        <w:rPr>
          <w:b/>
        </w:rPr>
        <w:t>Table and Figures</w:t>
      </w:r>
    </w:p>
    <w:p w14:paraId="629D2746" w14:textId="69688F05" w:rsidR="0072248E" w:rsidRDefault="007323D7" w:rsidP="0072248E">
      <w:pPr>
        <w:pStyle w:val="Paragraph"/>
        <w:spacing w:line="480" w:lineRule="auto"/>
        <w:ind w:firstLine="0"/>
        <w:jc w:val="both"/>
      </w:pPr>
      <w:r w:rsidRPr="00D0399E">
        <w:rPr>
          <w:b/>
          <w:bCs/>
        </w:rPr>
        <w:t>Supplementary Table S1</w:t>
      </w:r>
      <w:r>
        <w:t xml:space="preserve">. </w:t>
      </w:r>
      <w:r w:rsidRPr="00425180">
        <w:t>Patient characteristics</w:t>
      </w:r>
      <w:r>
        <w:t xml:space="preserve">. </w:t>
      </w:r>
      <w:r w:rsidRPr="007323D7">
        <w:t>The Eastern Cooperative Oncology Group (ECOG) performance status</w:t>
      </w:r>
      <w:r w:rsidR="008A6859">
        <w:t xml:space="preserve"> (</w:t>
      </w:r>
      <w:r w:rsidRPr="007323D7">
        <w:t>1</w:t>
      </w:r>
      <w:r w:rsidR="008A6859">
        <w:t>)</w:t>
      </w:r>
      <w:r w:rsidRPr="007323D7">
        <w:t>. Stage classification, AJCC7 Metastasis stage</w:t>
      </w:r>
      <w:r w:rsidR="008A6859">
        <w:t xml:space="preserve"> (</w:t>
      </w:r>
      <w:r w:rsidRPr="007323D7">
        <w:t>2</w:t>
      </w:r>
      <w:r w:rsidR="008A6859">
        <w:t>)</w:t>
      </w:r>
      <w:r w:rsidRPr="007323D7">
        <w:t>: M1a = metastasis in distant skin sites or areas under the skin or in distant lymph nodes with normal LDH, M1b = metastasis in lung with normal LDH levels, M1c = metastasis in internal organ or any other metastasis with elevated LDH. Treatment responses evaluated using the RECIST-criteria</w:t>
      </w:r>
      <w:r w:rsidR="008A6859">
        <w:t xml:space="preserve"> (</w:t>
      </w:r>
      <w:r w:rsidRPr="007323D7">
        <w:t>3</w:t>
      </w:r>
      <w:r w:rsidR="008A6859">
        <w:t>)</w:t>
      </w:r>
      <w:r w:rsidRPr="007323D7">
        <w:t>; Best achieved response during anti-PD1 therapy: CR = complete response, PR = partial response, SD = stable disease, PD = progressive disease. Response status; Responder (CR, PR or SD &gt; 6mo), non-responder (SD &lt; 6mo, PD). Pretreatment anti-CMV-IgG; High ≥ 93 UA/ml &lt; Low.</w:t>
      </w:r>
    </w:p>
    <w:p w14:paraId="5DCA3C63" w14:textId="666A1EFA" w:rsidR="004B7981" w:rsidRPr="002071D9" w:rsidRDefault="004A53E2" w:rsidP="004661F7">
      <w:pPr>
        <w:pStyle w:val="Paragraph"/>
        <w:spacing w:line="480" w:lineRule="auto"/>
        <w:ind w:left="-1260" w:firstLine="0"/>
        <w:jc w:val="both"/>
        <w:rPr>
          <w:b/>
          <w:sz w:val="28"/>
        </w:rPr>
      </w:pPr>
      <w:r>
        <w:rPr>
          <w:b/>
          <w:noProof/>
          <w:sz w:val="28"/>
        </w:rPr>
        <w:drawing>
          <wp:inline distT="0" distB="0" distL="0" distR="0" wp14:anchorId="643DB17F" wp14:editId="7660EF1B">
            <wp:extent cx="7394311" cy="39444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S1 (CIR edit may 2021).pdf"/>
                    <pic:cNvPicPr/>
                  </pic:nvPicPr>
                  <pic:blipFill rotWithShape="1">
                    <a:blip r:embed="rId4">
                      <a:extLst>
                        <a:ext uri="{28A0092B-C50C-407E-A947-70E740481C1C}">
                          <a14:useLocalDpi xmlns:a14="http://schemas.microsoft.com/office/drawing/2010/main" val="0"/>
                        </a:ext>
                      </a:extLst>
                    </a:blip>
                    <a:srcRect l="6357" r="8013"/>
                    <a:stretch/>
                  </pic:blipFill>
                  <pic:spPr bwMode="auto">
                    <a:xfrm>
                      <a:off x="0" y="0"/>
                      <a:ext cx="7439984" cy="3968835"/>
                    </a:xfrm>
                    <a:prstGeom prst="rect">
                      <a:avLst/>
                    </a:prstGeom>
                    <a:ln>
                      <a:noFill/>
                    </a:ln>
                    <a:extLst>
                      <a:ext uri="{53640926-AAD7-44D8-BBD7-CCE9431645EC}">
                        <a14:shadowObscured xmlns:a14="http://schemas.microsoft.com/office/drawing/2010/main"/>
                      </a:ext>
                    </a:extLst>
                  </pic:spPr>
                </pic:pic>
              </a:graphicData>
            </a:graphic>
          </wp:inline>
        </w:drawing>
      </w:r>
    </w:p>
    <w:p w14:paraId="4D6F28E1" w14:textId="77777777" w:rsidR="007323D7" w:rsidRDefault="007323D7">
      <w:pPr>
        <w:rPr>
          <w:rFonts w:eastAsia="Times New Roman"/>
          <w:sz w:val="24"/>
          <w:szCs w:val="24"/>
        </w:rPr>
      </w:pPr>
      <w:r>
        <w:br w:type="page"/>
      </w:r>
    </w:p>
    <w:p w14:paraId="25528C52" w14:textId="0C594778" w:rsidR="0072248E" w:rsidRDefault="007323D7" w:rsidP="0072248E">
      <w:pPr>
        <w:pStyle w:val="Paragraph"/>
        <w:spacing w:line="480" w:lineRule="auto"/>
        <w:ind w:firstLine="0"/>
        <w:jc w:val="both"/>
        <w:rPr>
          <w:b/>
        </w:rPr>
      </w:pPr>
      <w:r w:rsidRPr="00D0399E">
        <w:rPr>
          <w:b/>
          <w:bCs/>
        </w:rPr>
        <w:lastRenderedPageBreak/>
        <w:t>Supplementary Table S2</w:t>
      </w:r>
      <w:r w:rsidRPr="00DC3B85">
        <w:rPr>
          <w:i/>
        </w:rPr>
        <w:t xml:space="preserve">. </w:t>
      </w:r>
      <w:r w:rsidRPr="002071D9">
        <w:t>Peptides used for the animal experiment</w:t>
      </w:r>
      <w:r w:rsidR="001E046B">
        <w:t>s</w:t>
      </w:r>
      <w:r w:rsidRPr="002071D9">
        <w:t>.</w:t>
      </w:r>
    </w:p>
    <w:p w14:paraId="6ADDEE64" w14:textId="75E75B8E" w:rsidR="0072248E" w:rsidRDefault="001E046B" w:rsidP="004661F7">
      <w:pPr>
        <w:pStyle w:val="Paragraph"/>
        <w:spacing w:line="480" w:lineRule="auto"/>
        <w:ind w:left="-1260" w:firstLine="0"/>
        <w:jc w:val="center"/>
        <w:rPr>
          <w:b/>
        </w:rPr>
      </w:pPr>
      <w:r>
        <w:rPr>
          <w:b/>
          <w:noProof/>
        </w:rPr>
        <w:drawing>
          <wp:inline distT="0" distB="0" distL="0" distR="0" wp14:anchorId="0D8977E5" wp14:editId="677DC2A9">
            <wp:extent cx="7367149" cy="26057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5">
                      <a:extLst>
                        <a:ext uri="{28A0092B-C50C-407E-A947-70E740481C1C}">
                          <a14:useLocalDpi xmlns:a14="http://schemas.microsoft.com/office/drawing/2010/main" val="0"/>
                        </a:ext>
                      </a:extLst>
                    </a:blip>
                    <a:srcRect l="6353" t="8591" r="5824" b="47449"/>
                    <a:stretch/>
                  </pic:blipFill>
                  <pic:spPr bwMode="auto">
                    <a:xfrm>
                      <a:off x="0" y="0"/>
                      <a:ext cx="7415883" cy="2622979"/>
                    </a:xfrm>
                    <a:prstGeom prst="rect">
                      <a:avLst/>
                    </a:prstGeom>
                    <a:ln>
                      <a:noFill/>
                    </a:ln>
                    <a:extLst>
                      <a:ext uri="{53640926-AAD7-44D8-BBD7-CCE9431645EC}">
                        <a14:shadowObscured xmlns:a14="http://schemas.microsoft.com/office/drawing/2010/main"/>
                      </a:ext>
                    </a:extLst>
                  </pic:spPr>
                </pic:pic>
              </a:graphicData>
            </a:graphic>
          </wp:inline>
        </w:drawing>
      </w:r>
    </w:p>
    <w:p w14:paraId="511AE752" w14:textId="77777777" w:rsidR="001E046B" w:rsidRDefault="001E046B" w:rsidP="0072248E">
      <w:pPr>
        <w:pStyle w:val="Paragraph"/>
        <w:spacing w:line="480" w:lineRule="auto"/>
        <w:ind w:firstLine="0"/>
        <w:jc w:val="both"/>
        <w:rPr>
          <w:b/>
        </w:rPr>
      </w:pPr>
    </w:p>
    <w:p w14:paraId="4AF54085" w14:textId="04C0C1A7" w:rsidR="001E046B" w:rsidRPr="001E046B" w:rsidRDefault="001E046B" w:rsidP="001E046B">
      <w:pPr>
        <w:spacing w:line="480" w:lineRule="auto"/>
        <w:rPr>
          <w:rFonts w:eastAsia="Times New Roman"/>
          <w:sz w:val="24"/>
          <w:szCs w:val="24"/>
        </w:rPr>
      </w:pPr>
      <w:r w:rsidRPr="00D0399E">
        <w:rPr>
          <w:rFonts w:eastAsia="Times New Roman"/>
          <w:b/>
          <w:bCs/>
          <w:sz w:val="24"/>
          <w:szCs w:val="24"/>
        </w:rPr>
        <w:t>Supplementary Table S3</w:t>
      </w:r>
      <w:r w:rsidRPr="001E046B">
        <w:rPr>
          <w:rFonts w:eastAsia="Times New Roman"/>
          <w:sz w:val="24"/>
          <w:szCs w:val="24"/>
        </w:rPr>
        <w:t xml:space="preserve">. Peptides used for </w:t>
      </w:r>
      <w:r w:rsidRPr="008A6859">
        <w:rPr>
          <w:rFonts w:eastAsia="Times New Roman"/>
          <w:i/>
          <w:iCs/>
          <w:sz w:val="24"/>
          <w:szCs w:val="24"/>
        </w:rPr>
        <w:t>in vitro</w:t>
      </w:r>
      <w:r w:rsidRPr="001E046B">
        <w:rPr>
          <w:rFonts w:eastAsia="Times New Roman"/>
          <w:sz w:val="24"/>
          <w:szCs w:val="24"/>
        </w:rPr>
        <w:t xml:space="preserve"> experiments with human PBMCs. </w:t>
      </w:r>
      <w:r w:rsidR="008A6859">
        <w:rPr>
          <w:rFonts w:eastAsia="Times New Roman"/>
          <w:sz w:val="24"/>
          <w:szCs w:val="24"/>
        </w:rPr>
        <w:t>T</w:t>
      </w:r>
      <w:r w:rsidRPr="001E046B">
        <w:rPr>
          <w:rFonts w:eastAsia="Times New Roman"/>
          <w:sz w:val="24"/>
          <w:szCs w:val="24"/>
        </w:rPr>
        <w:t xml:space="preserve">he peptides labelled as T#/V# </w:t>
      </w:r>
      <w:r w:rsidR="008A6859">
        <w:rPr>
          <w:rFonts w:eastAsia="Times New Roman"/>
          <w:sz w:val="24"/>
          <w:szCs w:val="24"/>
        </w:rPr>
        <w:t>were</w:t>
      </w:r>
      <w:r w:rsidRPr="001E046B">
        <w:rPr>
          <w:rFonts w:eastAsia="Times New Roman"/>
          <w:sz w:val="24"/>
          <w:szCs w:val="24"/>
        </w:rPr>
        <w:t xml:space="preserve"> used for the ELISpot and cross-reactivity assay (T2/V2 and T5/V5).</w:t>
      </w:r>
    </w:p>
    <w:p w14:paraId="77459655" w14:textId="7A6560E3" w:rsidR="007323D7" w:rsidRDefault="001E046B" w:rsidP="004661F7">
      <w:pPr>
        <w:pStyle w:val="Paragraph"/>
        <w:spacing w:line="480" w:lineRule="auto"/>
        <w:ind w:left="-1260" w:firstLine="0"/>
        <w:jc w:val="both"/>
      </w:pPr>
      <w:r w:rsidRPr="001E046B">
        <w:rPr>
          <w:noProof/>
        </w:rPr>
        <w:drawing>
          <wp:inline distT="0" distB="0" distL="0" distR="0" wp14:anchorId="2FFF7382" wp14:editId="140DA57A">
            <wp:extent cx="7372057" cy="12431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571875" cy="1276800"/>
                    </a:xfrm>
                    <a:prstGeom prst="rect">
                      <a:avLst/>
                    </a:prstGeom>
                  </pic:spPr>
                </pic:pic>
              </a:graphicData>
            </a:graphic>
          </wp:inline>
        </w:drawing>
      </w:r>
    </w:p>
    <w:p w14:paraId="1E42E4D2" w14:textId="6FDE987E" w:rsidR="001E046B" w:rsidRDefault="001E046B">
      <w:pPr>
        <w:rPr>
          <w:rFonts w:eastAsia="Times New Roman"/>
          <w:sz w:val="24"/>
          <w:szCs w:val="24"/>
        </w:rPr>
      </w:pPr>
      <w:r>
        <w:br w:type="page"/>
      </w:r>
    </w:p>
    <w:p w14:paraId="498D1029" w14:textId="77777777" w:rsidR="001E046B" w:rsidRDefault="001E046B" w:rsidP="0072248E">
      <w:pPr>
        <w:pStyle w:val="Paragraph"/>
        <w:spacing w:line="480" w:lineRule="auto"/>
        <w:ind w:firstLine="0"/>
        <w:jc w:val="both"/>
      </w:pPr>
    </w:p>
    <w:p w14:paraId="4C484157" w14:textId="2AAF19AA" w:rsidR="0072248E" w:rsidRDefault="005A6D85" w:rsidP="0072248E">
      <w:pPr>
        <w:pStyle w:val="Paragraph"/>
        <w:spacing w:line="480" w:lineRule="auto"/>
        <w:ind w:firstLine="0"/>
        <w:jc w:val="both"/>
        <w:rPr>
          <w:b/>
          <w:sz w:val="28"/>
        </w:rPr>
      </w:pPr>
      <w:r>
        <w:rPr>
          <w:b/>
          <w:noProof/>
          <w:sz w:val="28"/>
        </w:rPr>
        <w:drawing>
          <wp:inline distT="0" distB="0" distL="0" distR="0" wp14:anchorId="31ECBF84" wp14:editId="18EB7A4E">
            <wp:extent cx="5731510" cy="4411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extLst>
                        <a:ext uri="{28A0092B-C50C-407E-A947-70E740481C1C}">
                          <a14:useLocalDpi xmlns:a14="http://schemas.microsoft.com/office/drawing/2010/main" val="0"/>
                        </a:ext>
                      </a:extLst>
                    </a:blip>
                    <a:srcRect l="17217" t="16989" r="20381" b="15046"/>
                    <a:stretch/>
                  </pic:blipFill>
                  <pic:spPr bwMode="auto">
                    <a:xfrm>
                      <a:off x="0" y="0"/>
                      <a:ext cx="5742742" cy="4419730"/>
                    </a:xfrm>
                    <a:prstGeom prst="rect">
                      <a:avLst/>
                    </a:prstGeom>
                    <a:ln>
                      <a:noFill/>
                    </a:ln>
                    <a:extLst>
                      <a:ext uri="{53640926-AAD7-44D8-BBD7-CCE9431645EC}">
                        <a14:shadowObscured xmlns:a14="http://schemas.microsoft.com/office/drawing/2010/main"/>
                      </a:ext>
                    </a:extLst>
                  </pic:spPr>
                </pic:pic>
              </a:graphicData>
            </a:graphic>
          </wp:inline>
        </w:drawing>
      </w:r>
    </w:p>
    <w:p w14:paraId="1A78550B" w14:textId="3DEFCAE9" w:rsidR="005A6D85" w:rsidRDefault="005A6D85" w:rsidP="0072248E">
      <w:pPr>
        <w:pStyle w:val="Paragraph"/>
        <w:spacing w:line="480" w:lineRule="auto"/>
        <w:ind w:firstLine="0"/>
        <w:jc w:val="both"/>
        <w:rPr>
          <w:b/>
          <w:sz w:val="28"/>
        </w:rPr>
      </w:pPr>
      <w:r w:rsidRPr="00D0399E">
        <w:rPr>
          <w:b/>
          <w:bCs/>
        </w:rPr>
        <w:t xml:space="preserve">Supplementary Figure </w:t>
      </w:r>
      <w:r w:rsidR="002B73E8" w:rsidRPr="00D0399E">
        <w:rPr>
          <w:b/>
          <w:bCs/>
        </w:rPr>
        <w:t>S</w:t>
      </w:r>
      <w:r w:rsidRPr="00D0399E">
        <w:rPr>
          <w:b/>
          <w:bCs/>
        </w:rPr>
        <w:t>1</w:t>
      </w:r>
      <w:r w:rsidRPr="00BD0E6D">
        <w:t>:</w:t>
      </w:r>
      <w:r>
        <w:t xml:space="preserve"> </w:t>
      </w:r>
      <w:r w:rsidR="002B73E8">
        <w:t>G</w:t>
      </w:r>
      <w:r>
        <w:t xml:space="preserve">ating strategy </w:t>
      </w:r>
      <w:r w:rsidR="002B73E8">
        <w:t>for</w:t>
      </w:r>
      <w:r>
        <w:t xml:space="preserve"> the flow cytometry analysis shown in Figure 4.</w:t>
      </w:r>
    </w:p>
    <w:p w14:paraId="0AFF9368" w14:textId="77777777" w:rsidR="0072248E" w:rsidRDefault="0072248E" w:rsidP="0072248E">
      <w:pPr>
        <w:jc w:val="center"/>
      </w:pPr>
      <w:r>
        <w:rPr>
          <w:noProof/>
        </w:rPr>
        <w:lastRenderedPageBreak/>
        <w:drawing>
          <wp:inline distT="0" distB="0" distL="0" distR="0" wp14:anchorId="24E936B9" wp14:editId="21E51121">
            <wp:extent cx="5731510" cy="41592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a:extLst>
                        <a:ext uri="{28A0092B-C50C-407E-A947-70E740481C1C}">
                          <a14:useLocalDpi xmlns:a14="http://schemas.microsoft.com/office/drawing/2010/main" val="0"/>
                        </a:ext>
                      </a:extLst>
                    </a:blip>
                    <a:stretch>
                      <a:fillRect/>
                    </a:stretch>
                  </pic:blipFill>
                  <pic:spPr>
                    <a:xfrm>
                      <a:off x="0" y="0"/>
                      <a:ext cx="5731510" cy="4159250"/>
                    </a:xfrm>
                    <a:prstGeom prst="rect">
                      <a:avLst/>
                    </a:prstGeom>
                  </pic:spPr>
                </pic:pic>
              </a:graphicData>
            </a:graphic>
          </wp:inline>
        </w:drawing>
      </w:r>
    </w:p>
    <w:p w14:paraId="4144D838" w14:textId="77777777" w:rsidR="0072248E" w:rsidRPr="002B73E8" w:rsidRDefault="0072248E" w:rsidP="0072248E">
      <w:pPr>
        <w:spacing w:line="480" w:lineRule="auto"/>
        <w:jc w:val="both"/>
        <w:rPr>
          <w:rFonts w:eastAsia="Times New Roman"/>
          <w:sz w:val="24"/>
          <w:szCs w:val="24"/>
        </w:rPr>
      </w:pPr>
    </w:p>
    <w:p w14:paraId="09C6A65F" w14:textId="35424434" w:rsidR="0072248E" w:rsidRPr="00BD0E6D" w:rsidRDefault="005A6D85" w:rsidP="0072248E">
      <w:pPr>
        <w:spacing w:line="480" w:lineRule="auto"/>
        <w:jc w:val="both"/>
        <w:rPr>
          <w:rFonts w:eastAsia="Times New Roman"/>
          <w:sz w:val="24"/>
          <w:szCs w:val="24"/>
        </w:rPr>
      </w:pPr>
      <w:r w:rsidRPr="00D0399E">
        <w:rPr>
          <w:rFonts w:eastAsia="Times New Roman"/>
          <w:b/>
          <w:bCs/>
          <w:sz w:val="24"/>
          <w:szCs w:val="24"/>
        </w:rPr>
        <w:t xml:space="preserve">Supplementary Figure </w:t>
      </w:r>
      <w:r w:rsidR="002B73E8" w:rsidRPr="00D0399E">
        <w:rPr>
          <w:rFonts w:eastAsia="Times New Roman"/>
          <w:b/>
          <w:bCs/>
          <w:sz w:val="24"/>
          <w:szCs w:val="24"/>
        </w:rPr>
        <w:t>S</w:t>
      </w:r>
      <w:r w:rsidRPr="00D0399E">
        <w:rPr>
          <w:rFonts w:eastAsia="Times New Roman"/>
          <w:b/>
          <w:bCs/>
          <w:sz w:val="24"/>
          <w:szCs w:val="24"/>
        </w:rPr>
        <w:t>2</w:t>
      </w:r>
      <w:r w:rsidR="0072248E" w:rsidRPr="00BD0E6D">
        <w:rPr>
          <w:rFonts w:eastAsia="Times New Roman"/>
          <w:sz w:val="24"/>
          <w:szCs w:val="24"/>
        </w:rPr>
        <w:t>: Experimental design for cross-reactivity assay. On day 0 primary human PBMCs were in vitro stimulated with matching viral and tumor peptides, on day 2 IL2 was added to the culture in order to sustain the primary cell culture until day 8 when GolgiStop was added. After inhibition by GolgiStop on day 9</w:t>
      </w:r>
      <w:r w:rsidR="00E458F6">
        <w:rPr>
          <w:rFonts w:eastAsia="Times New Roman"/>
          <w:sz w:val="24"/>
          <w:szCs w:val="24"/>
        </w:rPr>
        <w:t>,</w:t>
      </w:r>
      <w:r w:rsidR="0072248E" w:rsidRPr="00BD0E6D">
        <w:rPr>
          <w:rFonts w:eastAsia="Times New Roman"/>
          <w:sz w:val="24"/>
          <w:szCs w:val="24"/>
        </w:rPr>
        <w:t xml:space="preserve"> the </w:t>
      </w:r>
      <w:proofErr w:type="spellStart"/>
      <w:r w:rsidR="0072248E" w:rsidRPr="00BD0E6D">
        <w:rPr>
          <w:rFonts w:eastAsia="Times New Roman"/>
          <w:sz w:val="24"/>
          <w:szCs w:val="24"/>
        </w:rPr>
        <w:t>IFNγ</w:t>
      </w:r>
      <w:proofErr w:type="spellEnd"/>
      <w:r w:rsidR="00D1694B">
        <w:rPr>
          <w:rFonts w:eastAsia="Times New Roman"/>
          <w:sz w:val="24"/>
          <w:szCs w:val="24"/>
        </w:rPr>
        <w:t>-</w:t>
      </w:r>
      <w:r w:rsidR="0072248E" w:rsidRPr="00BD0E6D">
        <w:rPr>
          <w:rFonts w:eastAsia="Times New Roman"/>
          <w:sz w:val="24"/>
          <w:szCs w:val="24"/>
        </w:rPr>
        <w:t xml:space="preserve">positive and </w:t>
      </w:r>
      <w:r w:rsidR="00D1694B">
        <w:rPr>
          <w:rFonts w:eastAsia="Times New Roman"/>
          <w:sz w:val="24"/>
          <w:szCs w:val="24"/>
        </w:rPr>
        <w:t>-</w:t>
      </w:r>
      <w:r w:rsidR="0072248E" w:rsidRPr="00BD0E6D">
        <w:rPr>
          <w:rFonts w:eastAsia="Times New Roman"/>
          <w:sz w:val="24"/>
          <w:szCs w:val="24"/>
        </w:rPr>
        <w:t>negative fractions of CD8</w:t>
      </w:r>
      <w:r w:rsidR="00D1694B">
        <w:rPr>
          <w:rFonts w:eastAsia="Times New Roman"/>
          <w:sz w:val="24"/>
          <w:szCs w:val="24"/>
          <w:vertAlign w:val="superscript"/>
        </w:rPr>
        <w:t>+</w:t>
      </w:r>
      <w:r w:rsidR="0072248E" w:rsidRPr="00BD0E6D">
        <w:rPr>
          <w:rFonts w:eastAsia="Times New Roman"/>
          <w:sz w:val="24"/>
          <w:szCs w:val="24"/>
        </w:rPr>
        <w:t xml:space="preserve"> T</w:t>
      </w:r>
      <w:r w:rsidR="00D1694B">
        <w:rPr>
          <w:rFonts w:eastAsia="Times New Roman"/>
          <w:sz w:val="24"/>
          <w:szCs w:val="24"/>
        </w:rPr>
        <w:t xml:space="preserve"> </w:t>
      </w:r>
      <w:r w:rsidR="0072248E" w:rsidRPr="00BD0E6D">
        <w:rPr>
          <w:rFonts w:eastAsia="Times New Roman"/>
          <w:sz w:val="24"/>
          <w:szCs w:val="24"/>
        </w:rPr>
        <w:t>cells were sorted using FACS for TCR</w:t>
      </w:r>
      <w:r w:rsidR="0072248E" w:rsidRPr="00BD0E6D">
        <w:rPr>
          <w:rFonts w:eastAsia="Times New Roman"/>
          <w:sz w:val="24"/>
          <w:szCs w:val="24"/>
        </w:rPr>
        <w:sym w:font="Symbol" w:char="F062"/>
      </w:r>
      <w:r w:rsidR="0072248E" w:rsidRPr="00BD0E6D">
        <w:rPr>
          <w:rFonts w:eastAsia="Times New Roman"/>
          <w:sz w:val="24"/>
          <w:szCs w:val="24"/>
        </w:rPr>
        <w:t xml:space="preserve"> </w:t>
      </w:r>
      <w:r w:rsidR="00D1694B">
        <w:rPr>
          <w:rFonts w:eastAsia="Times New Roman"/>
          <w:sz w:val="24"/>
          <w:szCs w:val="24"/>
        </w:rPr>
        <w:t xml:space="preserve">deep </w:t>
      </w:r>
      <w:r w:rsidR="0072248E" w:rsidRPr="00BD0E6D">
        <w:rPr>
          <w:rFonts w:eastAsia="Times New Roman"/>
          <w:sz w:val="24"/>
          <w:szCs w:val="24"/>
        </w:rPr>
        <w:t>sequencing.</w:t>
      </w:r>
    </w:p>
    <w:p w14:paraId="7BBCD36E" w14:textId="3DDE3999" w:rsidR="0072248E" w:rsidRDefault="0072248E" w:rsidP="004B7981">
      <w:pPr>
        <w:pStyle w:val="Paragraph"/>
        <w:spacing w:line="480" w:lineRule="auto"/>
        <w:ind w:firstLine="0"/>
        <w:jc w:val="both"/>
      </w:pPr>
    </w:p>
    <w:p w14:paraId="115465F2" w14:textId="77777777" w:rsidR="002B73E8" w:rsidRDefault="002B73E8" w:rsidP="004B7981">
      <w:pPr>
        <w:pStyle w:val="Paragraph"/>
        <w:spacing w:line="480" w:lineRule="auto"/>
        <w:ind w:firstLine="0"/>
        <w:jc w:val="both"/>
      </w:pPr>
    </w:p>
    <w:p w14:paraId="49B8F7EF" w14:textId="77777777" w:rsidR="004B7981" w:rsidRDefault="004B7981" w:rsidP="004B7981">
      <w:pPr>
        <w:adjustRightInd w:val="0"/>
        <w:snapToGrid w:val="0"/>
        <w:spacing w:line="360" w:lineRule="auto"/>
        <w:contextualSpacing/>
        <w:jc w:val="both"/>
      </w:pPr>
    </w:p>
    <w:p w14:paraId="580C6A28" w14:textId="77777777" w:rsidR="004B7981" w:rsidRDefault="004B7981" w:rsidP="004B7981">
      <w:pPr>
        <w:adjustRightInd w:val="0"/>
        <w:snapToGrid w:val="0"/>
        <w:spacing w:line="360" w:lineRule="auto"/>
        <w:contextualSpacing/>
        <w:jc w:val="center"/>
        <w:rPr>
          <w:rFonts w:ascii="Times" w:eastAsia="Times New Roman" w:hAnsi="Times"/>
          <w:sz w:val="24"/>
          <w:szCs w:val="24"/>
        </w:rPr>
      </w:pPr>
      <w:r>
        <w:rPr>
          <w:rFonts w:ascii="Times" w:eastAsia="Times New Roman" w:hAnsi="Times"/>
          <w:noProof/>
          <w:sz w:val="24"/>
          <w:szCs w:val="24"/>
        </w:rPr>
        <w:lastRenderedPageBreak/>
        <w:drawing>
          <wp:inline distT="0" distB="0" distL="0" distR="0" wp14:anchorId="02E495EE" wp14:editId="16588DA0">
            <wp:extent cx="2511846" cy="1786202"/>
            <wp:effectExtent l="0" t="0" r="317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537020" cy="1804104"/>
                    </a:xfrm>
                    <a:prstGeom prst="rect">
                      <a:avLst/>
                    </a:prstGeom>
                  </pic:spPr>
                </pic:pic>
              </a:graphicData>
            </a:graphic>
          </wp:inline>
        </w:drawing>
      </w:r>
    </w:p>
    <w:p w14:paraId="6F5174AB" w14:textId="740F5A13" w:rsidR="004B7981" w:rsidRPr="00BD0E6D" w:rsidRDefault="004B7981" w:rsidP="004B7981">
      <w:pPr>
        <w:adjustRightInd w:val="0"/>
        <w:snapToGrid w:val="0"/>
        <w:spacing w:line="360" w:lineRule="auto"/>
        <w:contextualSpacing/>
        <w:rPr>
          <w:rFonts w:eastAsia="Times New Roman"/>
          <w:sz w:val="24"/>
          <w:szCs w:val="24"/>
        </w:rPr>
      </w:pPr>
      <w:r w:rsidRPr="00D0399E">
        <w:rPr>
          <w:rFonts w:eastAsia="Times New Roman"/>
          <w:b/>
          <w:bCs/>
          <w:sz w:val="24"/>
          <w:szCs w:val="24"/>
        </w:rPr>
        <w:t xml:space="preserve">Supplementary Figure </w:t>
      </w:r>
      <w:r w:rsidR="002B73E8" w:rsidRPr="00D0399E">
        <w:rPr>
          <w:rFonts w:eastAsia="Times New Roman"/>
          <w:b/>
          <w:bCs/>
          <w:sz w:val="24"/>
          <w:szCs w:val="24"/>
        </w:rPr>
        <w:t>S</w:t>
      </w:r>
      <w:r w:rsidR="005A6D85" w:rsidRPr="00D0399E">
        <w:rPr>
          <w:rFonts w:eastAsia="Times New Roman"/>
          <w:b/>
          <w:bCs/>
          <w:sz w:val="24"/>
          <w:szCs w:val="24"/>
        </w:rPr>
        <w:t>3</w:t>
      </w:r>
      <w:r w:rsidRPr="00BD0E6D">
        <w:rPr>
          <w:rFonts w:eastAsia="Times New Roman"/>
          <w:sz w:val="24"/>
          <w:szCs w:val="24"/>
        </w:rPr>
        <w:t>. Predicted affinity of the original tumor and respective similar viral pool of peptides to the murine MHC class I. 50nM and 500nM are highlighted as dotted lines.</w:t>
      </w:r>
    </w:p>
    <w:p w14:paraId="22F5B2CB" w14:textId="28B2102B" w:rsidR="004B7981" w:rsidRPr="002B73E8" w:rsidRDefault="004B7981" w:rsidP="004B7981">
      <w:pPr>
        <w:adjustRightInd w:val="0"/>
        <w:snapToGrid w:val="0"/>
        <w:spacing w:line="360" w:lineRule="auto"/>
        <w:contextualSpacing/>
        <w:rPr>
          <w:rFonts w:eastAsia="Times New Roman"/>
          <w:sz w:val="24"/>
          <w:szCs w:val="24"/>
        </w:rPr>
      </w:pPr>
    </w:p>
    <w:p w14:paraId="52230FFF" w14:textId="02868480" w:rsidR="00BD0E6D" w:rsidRPr="002B73E8" w:rsidRDefault="00BD0E6D" w:rsidP="004B7981">
      <w:pPr>
        <w:adjustRightInd w:val="0"/>
        <w:snapToGrid w:val="0"/>
        <w:spacing w:line="360" w:lineRule="auto"/>
        <w:contextualSpacing/>
        <w:rPr>
          <w:rFonts w:eastAsia="Times New Roman"/>
          <w:sz w:val="24"/>
          <w:szCs w:val="24"/>
        </w:rPr>
      </w:pPr>
    </w:p>
    <w:p w14:paraId="7D95DA5B" w14:textId="78E6D1ED" w:rsidR="002B73E8" w:rsidRPr="002B73E8" w:rsidRDefault="002B73E8" w:rsidP="004B7981">
      <w:pPr>
        <w:adjustRightInd w:val="0"/>
        <w:snapToGrid w:val="0"/>
        <w:spacing w:line="360" w:lineRule="auto"/>
        <w:contextualSpacing/>
        <w:rPr>
          <w:rFonts w:eastAsia="Times New Roman"/>
          <w:sz w:val="24"/>
          <w:szCs w:val="24"/>
        </w:rPr>
      </w:pPr>
    </w:p>
    <w:p w14:paraId="4A1069CF" w14:textId="77777777" w:rsidR="002B73E8" w:rsidRPr="002B73E8" w:rsidRDefault="002B73E8" w:rsidP="004B7981">
      <w:pPr>
        <w:adjustRightInd w:val="0"/>
        <w:snapToGrid w:val="0"/>
        <w:spacing w:line="360" w:lineRule="auto"/>
        <w:contextualSpacing/>
        <w:rPr>
          <w:rFonts w:eastAsia="Times New Roman"/>
          <w:sz w:val="24"/>
          <w:szCs w:val="24"/>
        </w:rPr>
      </w:pPr>
    </w:p>
    <w:p w14:paraId="46D8D429" w14:textId="77777777" w:rsidR="004B7981" w:rsidRDefault="004B7981" w:rsidP="004B7981">
      <w:pPr>
        <w:pStyle w:val="Paragraph"/>
        <w:spacing w:line="480" w:lineRule="auto"/>
        <w:ind w:firstLine="0"/>
        <w:jc w:val="center"/>
      </w:pPr>
      <w:r>
        <w:rPr>
          <w:noProof/>
        </w:rPr>
        <w:drawing>
          <wp:inline distT="0" distB="0" distL="0" distR="0" wp14:anchorId="5E3DF583" wp14:editId="0A0090E3">
            <wp:extent cx="6424475" cy="1961002"/>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S1.pdf"/>
                    <pic:cNvPicPr/>
                  </pic:nvPicPr>
                  <pic:blipFill>
                    <a:blip r:embed="rId10">
                      <a:extLst>
                        <a:ext uri="{28A0092B-C50C-407E-A947-70E740481C1C}">
                          <a14:useLocalDpi xmlns:a14="http://schemas.microsoft.com/office/drawing/2010/main" val="0"/>
                        </a:ext>
                      </a:extLst>
                    </a:blip>
                    <a:stretch>
                      <a:fillRect/>
                    </a:stretch>
                  </pic:blipFill>
                  <pic:spPr>
                    <a:xfrm>
                      <a:off x="0" y="0"/>
                      <a:ext cx="6436112" cy="1964554"/>
                    </a:xfrm>
                    <a:prstGeom prst="rect">
                      <a:avLst/>
                    </a:prstGeom>
                  </pic:spPr>
                </pic:pic>
              </a:graphicData>
            </a:graphic>
          </wp:inline>
        </w:drawing>
      </w:r>
    </w:p>
    <w:p w14:paraId="07500E80" w14:textId="1657DE23" w:rsidR="004B7981" w:rsidRPr="00BD0E6D" w:rsidRDefault="004B7981" w:rsidP="004B7981">
      <w:pPr>
        <w:pStyle w:val="Paragraph"/>
        <w:spacing w:line="480" w:lineRule="auto"/>
        <w:ind w:firstLine="0"/>
        <w:jc w:val="both"/>
      </w:pPr>
      <w:r w:rsidRPr="00D0399E">
        <w:rPr>
          <w:b/>
          <w:bCs/>
        </w:rPr>
        <w:t xml:space="preserve">Supplementary Figure </w:t>
      </w:r>
      <w:r w:rsidR="002B73E8" w:rsidRPr="00D0399E">
        <w:rPr>
          <w:b/>
          <w:bCs/>
        </w:rPr>
        <w:t>S</w:t>
      </w:r>
      <w:r w:rsidR="005A6D85" w:rsidRPr="00D0399E">
        <w:rPr>
          <w:b/>
          <w:bCs/>
        </w:rPr>
        <w:t>4</w:t>
      </w:r>
      <w:r w:rsidRPr="00BD0E6D">
        <w:t>. Average tumor growth of mice preimmunized with viral peptides similar to TRP2 and treated with Adenovirus coated with gp100 peptide (PeptiCRAd gp100).</w:t>
      </w:r>
    </w:p>
    <w:p w14:paraId="78891204" w14:textId="77777777" w:rsidR="00BD0E6D" w:rsidRPr="002B73E8" w:rsidRDefault="00BD0E6D" w:rsidP="004B7981">
      <w:pPr>
        <w:pStyle w:val="Paragraph"/>
        <w:spacing w:line="480" w:lineRule="auto"/>
        <w:ind w:firstLine="0"/>
        <w:jc w:val="both"/>
      </w:pPr>
    </w:p>
    <w:p w14:paraId="1D284EA2" w14:textId="77777777" w:rsidR="00BD0E6D" w:rsidRDefault="00BD0E6D" w:rsidP="00BD0E6D">
      <w:pPr>
        <w:adjustRightInd w:val="0"/>
        <w:snapToGrid w:val="0"/>
        <w:spacing w:line="360" w:lineRule="auto"/>
        <w:contextualSpacing/>
        <w:jc w:val="both"/>
        <w:rPr>
          <w:rFonts w:eastAsia="Times New Roman"/>
          <w:sz w:val="24"/>
          <w:szCs w:val="24"/>
        </w:rPr>
      </w:pPr>
      <w:r>
        <w:rPr>
          <w:rFonts w:eastAsia="Times New Roman"/>
          <w:noProof/>
          <w:sz w:val="24"/>
          <w:szCs w:val="24"/>
        </w:rPr>
        <w:lastRenderedPageBreak/>
        <w:drawing>
          <wp:inline distT="0" distB="0" distL="0" distR="0" wp14:anchorId="4339942C" wp14:editId="12F63620">
            <wp:extent cx="5943600" cy="2886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6.pdf"/>
                    <pic:cNvPicPr/>
                  </pic:nvPicPr>
                  <pic:blipFill>
                    <a:blip r:embed="rId11">
                      <a:extLst>
                        <a:ext uri="{28A0092B-C50C-407E-A947-70E740481C1C}">
                          <a14:useLocalDpi xmlns:a14="http://schemas.microsoft.com/office/drawing/2010/main" val="0"/>
                        </a:ext>
                      </a:extLst>
                    </a:blip>
                    <a:stretch>
                      <a:fillRect/>
                    </a:stretch>
                  </pic:blipFill>
                  <pic:spPr>
                    <a:xfrm>
                      <a:off x="0" y="0"/>
                      <a:ext cx="5943600" cy="2886075"/>
                    </a:xfrm>
                    <a:prstGeom prst="rect">
                      <a:avLst/>
                    </a:prstGeom>
                  </pic:spPr>
                </pic:pic>
              </a:graphicData>
            </a:graphic>
          </wp:inline>
        </w:drawing>
      </w:r>
    </w:p>
    <w:p w14:paraId="2E5D5EB7" w14:textId="77777777" w:rsidR="00BD0E6D" w:rsidRPr="006611E9" w:rsidRDefault="00BD0E6D" w:rsidP="00BD0E6D">
      <w:pPr>
        <w:adjustRightInd w:val="0"/>
        <w:snapToGrid w:val="0"/>
        <w:spacing w:line="360" w:lineRule="auto"/>
        <w:contextualSpacing/>
        <w:jc w:val="both"/>
        <w:rPr>
          <w:rFonts w:eastAsia="Times New Roman"/>
          <w:sz w:val="24"/>
          <w:szCs w:val="24"/>
        </w:rPr>
      </w:pPr>
    </w:p>
    <w:p w14:paraId="68E20DD5" w14:textId="78D3B98B" w:rsidR="00BD0E6D" w:rsidRPr="005A6D85" w:rsidRDefault="00BD0E6D" w:rsidP="00BD0E6D">
      <w:pPr>
        <w:spacing w:line="360" w:lineRule="auto"/>
        <w:rPr>
          <w:rFonts w:eastAsia="Times New Roman"/>
          <w:sz w:val="24"/>
          <w:szCs w:val="24"/>
        </w:rPr>
      </w:pPr>
      <w:r w:rsidRPr="00D0399E">
        <w:rPr>
          <w:rFonts w:eastAsia="Times New Roman"/>
          <w:b/>
          <w:bCs/>
          <w:sz w:val="24"/>
          <w:szCs w:val="24"/>
        </w:rPr>
        <w:t xml:space="preserve">Supplementary </w:t>
      </w:r>
      <w:r w:rsidR="00C21579" w:rsidRPr="00D0399E">
        <w:rPr>
          <w:rFonts w:eastAsia="Times New Roman"/>
          <w:b/>
          <w:bCs/>
          <w:sz w:val="24"/>
          <w:szCs w:val="24"/>
        </w:rPr>
        <w:t xml:space="preserve">Figure </w:t>
      </w:r>
      <w:r w:rsidR="002B73E8" w:rsidRPr="00D0399E">
        <w:rPr>
          <w:rFonts w:eastAsia="Times New Roman"/>
          <w:b/>
          <w:bCs/>
          <w:sz w:val="24"/>
          <w:szCs w:val="24"/>
        </w:rPr>
        <w:t>S</w:t>
      </w:r>
      <w:r w:rsidR="005A6D85" w:rsidRPr="00D0399E">
        <w:rPr>
          <w:rFonts w:eastAsia="Times New Roman"/>
          <w:b/>
          <w:bCs/>
          <w:sz w:val="24"/>
          <w:szCs w:val="24"/>
        </w:rPr>
        <w:t>5</w:t>
      </w:r>
      <w:r w:rsidR="00D0399E">
        <w:rPr>
          <w:rFonts w:eastAsia="Times New Roman"/>
          <w:sz w:val="24"/>
          <w:szCs w:val="24"/>
        </w:rPr>
        <w:t>.</w:t>
      </w:r>
      <w:r w:rsidR="005A6D85" w:rsidRPr="005A6D85">
        <w:rPr>
          <w:rFonts w:eastAsia="Times New Roman"/>
          <w:sz w:val="24"/>
          <w:szCs w:val="24"/>
        </w:rPr>
        <w:t xml:space="preserve"> </w:t>
      </w:r>
      <w:r w:rsidRPr="005A6D85">
        <w:rPr>
          <w:rFonts w:eastAsia="Times New Roman"/>
          <w:sz w:val="24"/>
          <w:szCs w:val="24"/>
        </w:rPr>
        <w:t>Kaplan-Meier curve of anti-CMV-IgG high patients (blue line, n=7) compared to anti-CMV-IgG low (pink line, n=5) patients (p=0.05) using Cox regression model. Patients were divided based on their pretreatment anti-CMV-IgG titer as higher, equal (≥) or lower (&lt;) than the median. CMV-seronegative patients were excluded from this analysis. Patients that ended their treatment due to severe adverse effects were censored (black tic marks) (A). Kaplan-Meier curve of anti-EBV-IgG high patients (blue line, n=10) compared to anti-EBV-IgG low (pink line, n=4) patients (p&gt;0.99) using Cox regression model. Patients were divided based on their pretreatment anti-EBV-IgG titer as higher, equal (≥) or lower (&lt;) the median. EBV-seronegative patients were excluded from this analysis. Patients that ended their treatment due severe adverse effects were censored (black tic marks) (B). The immunoglobulin assay of IgA, IgG and IgM serum levels (g/L) between responders (R, white dots) and non-responders (NR, black squares) before initiation (D0) and after one (1mo) and three months (3mo) of ICPI-therapy. The statistical difference between timepoints is calculated with Student’s t-test and the range of p value is labeled with asterisk (*P &lt; 0.05) (C, D, E).</w:t>
      </w:r>
    </w:p>
    <w:p w14:paraId="5F711B56" w14:textId="77777777" w:rsidR="00BD0E6D" w:rsidRPr="002B73E8" w:rsidRDefault="00BD0E6D" w:rsidP="004B7981">
      <w:pPr>
        <w:pStyle w:val="Paragraph"/>
        <w:spacing w:line="480" w:lineRule="auto"/>
        <w:ind w:firstLine="0"/>
        <w:jc w:val="both"/>
      </w:pPr>
    </w:p>
    <w:p w14:paraId="254903AB" w14:textId="77777777" w:rsidR="004B7981" w:rsidRDefault="004B7981" w:rsidP="004B7981">
      <w:pPr>
        <w:pStyle w:val="Paragraph"/>
        <w:spacing w:line="480" w:lineRule="auto"/>
        <w:ind w:firstLine="0"/>
        <w:jc w:val="both"/>
      </w:pPr>
    </w:p>
    <w:p w14:paraId="7D1E6F50" w14:textId="77777777" w:rsidR="004B7981" w:rsidRDefault="004B7981" w:rsidP="004B7981">
      <w:pPr>
        <w:pStyle w:val="Paragraph"/>
        <w:spacing w:line="480" w:lineRule="auto"/>
        <w:ind w:firstLine="0"/>
        <w:jc w:val="center"/>
      </w:pPr>
      <w:r>
        <w:rPr>
          <w:noProof/>
        </w:rPr>
        <w:lastRenderedPageBreak/>
        <w:drawing>
          <wp:inline distT="0" distB="0" distL="0" distR="0" wp14:anchorId="52C31653" wp14:editId="59C17DD4">
            <wp:extent cx="2445140" cy="15717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2">
                      <a:extLst>
                        <a:ext uri="{28A0092B-C50C-407E-A947-70E740481C1C}">
                          <a14:useLocalDpi xmlns:a14="http://schemas.microsoft.com/office/drawing/2010/main" val="0"/>
                        </a:ext>
                      </a:extLst>
                    </a:blip>
                    <a:srcRect t="10997"/>
                    <a:stretch/>
                  </pic:blipFill>
                  <pic:spPr bwMode="auto">
                    <a:xfrm>
                      <a:off x="0" y="0"/>
                      <a:ext cx="2458409" cy="1580255"/>
                    </a:xfrm>
                    <a:prstGeom prst="rect">
                      <a:avLst/>
                    </a:prstGeom>
                    <a:ln>
                      <a:noFill/>
                    </a:ln>
                    <a:extLst>
                      <a:ext uri="{53640926-AAD7-44D8-BBD7-CCE9431645EC}">
                        <a14:shadowObscured xmlns:a14="http://schemas.microsoft.com/office/drawing/2010/main"/>
                      </a:ext>
                    </a:extLst>
                  </pic:spPr>
                </pic:pic>
              </a:graphicData>
            </a:graphic>
          </wp:inline>
        </w:drawing>
      </w:r>
    </w:p>
    <w:p w14:paraId="13A1591C" w14:textId="2524E5D7" w:rsidR="004B7981" w:rsidRPr="00BD0E6D" w:rsidRDefault="004B7981" w:rsidP="004B7981">
      <w:pPr>
        <w:pStyle w:val="Paragraph"/>
        <w:spacing w:line="480" w:lineRule="auto"/>
        <w:ind w:firstLine="0"/>
        <w:jc w:val="both"/>
      </w:pPr>
      <w:r w:rsidRPr="00D0399E">
        <w:rPr>
          <w:b/>
          <w:bCs/>
        </w:rPr>
        <w:t xml:space="preserve">Supplementary Figure </w:t>
      </w:r>
      <w:r w:rsidR="002B73E8" w:rsidRPr="00D0399E">
        <w:rPr>
          <w:b/>
          <w:bCs/>
        </w:rPr>
        <w:t>S</w:t>
      </w:r>
      <w:r w:rsidR="005A6D85" w:rsidRPr="00D0399E">
        <w:rPr>
          <w:b/>
          <w:bCs/>
        </w:rPr>
        <w:t>6</w:t>
      </w:r>
      <w:r w:rsidRPr="00BD0E6D">
        <w:t>. Levels of IFN-γ detected by ELISpot performed on. PBMCs derived from a subject (HLA-A02</w:t>
      </w:r>
      <w:r w:rsidRPr="00D0399E">
        <w:rPr>
          <w:vertAlign w:val="superscript"/>
        </w:rPr>
        <w:t>+</w:t>
      </w:r>
      <w:r w:rsidRPr="00BD0E6D">
        <w:t xml:space="preserve">) with high serum level of anti-CMV Ab </w:t>
      </w:r>
      <w:proofErr w:type="gramStart"/>
      <w:r w:rsidRPr="00BD0E6D">
        <w:t>in order to</w:t>
      </w:r>
      <w:proofErr w:type="gramEnd"/>
      <w:r w:rsidRPr="00BD0E6D">
        <w:t xml:space="preserve"> validate the peptides in Supplementary Table S2.</w:t>
      </w:r>
    </w:p>
    <w:p w14:paraId="2AE18524" w14:textId="77777777" w:rsidR="004B7981" w:rsidRPr="002B73E8" w:rsidRDefault="004B7981" w:rsidP="0072248E">
      <w:pPr>
        <w:spacing w:line="480" w:lineRule="auto"/>
        <w:jc w:val="both"/>
        <w:rPr>
          <w:rFonts w:eastAsia="Times New Roman"/>
          <w:sz w:val="24"/>
          <w:szCs w:val="24"/>
        </w:rPr>
      </w:pPr>
    </w:p>
    <w:sectPr w:rsidR="004B7981" w:rsidRPr="002B73E8" w:rsidSect="002B73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81"/>
    <w:rsid w:val="001B547A"/>
    <w:rsid w:val="001C0C0B"/>
    <w:rsid w:val="001E046B"/>
    <w:rsid w:val="002B73E8"/>
    <w:rsid w:val="00351E6D"/>
    <w:rsid w:val="004661F7"/>
    <w:rsid w:val="004A53E2"/>
    <w:rsid w:val="004B7981"/>
    <w:rsid w:val="004E1D11"/>
    <w:rsid w:val="005300A4"/>
    <w:rsid w:val="005A6D85"/>
    <w:rsid w:val="0072248E"/>
    <w:rsid w:val="0072731D"/>
    <w:rsid w:val="007323D7"/>
    <w:rsid w:val="008A6859"/>
    <w:rsid w:val="00A37A90"/>
    <w:rsid w:val="00BD0E6D"/>
    <w:rsid w:val="00C21579"/>
    <w:rsid w:val="00D0399E"/>
    <w:rsid w:val="00D1694B"/>
    <w:rsid w:val="00E458F6"/>
    <w:rsid w:val="00FE325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10665"/>
  <w15:chartTrackingRefBased/>
  <w15:docId w15:val="{F94B6B97-A349-614F-AA4E-0A1EBF3B8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981"/>
    <w:rPr>
      <w:rFonts w:ascii="Times New Roman" w:eastAsia="Calibri"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link w:val="ParagraphChar"/>
    <w:qFormat/>
    <w:rsid w:val="004B7981"/>
    <w:pPr>
      <w:spacing w:before="120"/>
      <w:ind w:firstLine="720"/>
    </w:pPr>
    <w:rPr>
      <w:rFonts w:eastAsia="Times New Roman"/>
      <w:sz w:val="24"/>
      <w:szCs w:val="24"/>
    </w:rPr>
  </w:style>
  <w:style w:type="character" w:customStyle="1" w:styleId="ParagraphChar">
    <w:name w:val="Paragraph Char"/>
    <w:basedOn w:val="DefaultParagraphFont"/>
    <w:link w:val="Paragraph"/>
    <w:rsid w:val="004B7981"/>
    <w:rPr>
      <w:rFonts w:ascii="Times New Roman" w:eastAsia="Times New Roman" w:hAnsi="Times New Roman" w:cs="Times New Roman"/>
      <w:lang w:val="en-US"/>
    </w:rPr>
  </w:style>
  <w:style w:type="character" w:styleId="LineNumber">
    <w:name w:val="line number"/>
    <w:basedOn w:val="DefaultParagraphFont"/>
    <w:uiPriority w:val="99"/>
    <w:semiHidden/>
    <w:unhideWhenUsed/>
    <w:rsid w:val="004B7981"/>
  </w:style>
  <w:style w:type="paragraph" w:styleId="CommentText">
    <w:name w:val="annotation text"/>
    <w:basedOn w:val="Normal"/>
    <w:link w:val="CommentTextChar"/>
    <w:uiPriority w:val="99"/>
    <w:qFormat/>
    <w:rsid w:val="00BD0E6D"/>
    <w:rPr>
      <w:rFonts w:eastAsia="Times New Roman"/>
    </w:rPr>
  </w:style>
  <w:style w:type="character" w:customStyle="1" w:styleId="CommentTextChar">
    <w:name w:val="Comment Text Char"/>
    <w:basedOn w:val="DefaultParagraphFont"/>
    <w:link w:val="CommentText"/>
    <w:uiPriority w:val="99"/>
    <w:qFormat/>
    <w:rsid w:val="00BD0E6D"/>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4E1D11"/>
    <w:rPr>
      <w:sz w:val="18"/>
      <w:szCs w:val="18"/>
    </w:rPr>
  </w:style>
  <w:style w:type="character" w:customStyle="1" w:styleId="BalloonTextChar">
    <w:name w:val="Balloon Text Char"/>
    <w:basedOn w:val="DefaultParagraphFont"/>
    <w:link w:val="BalloonText"/>
    <w:uiPriority w:val="99"/>
    <w:semiHidden/>
    <w:rsid w:val="004E1D11"/>
    <w:rPr>
      <w:rFonts w:ascii="Times New Roman" w:eastAsia="Calibri"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512</Words>
  <Characters>2920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Cerullo, Vincenzo</dc:creator>
  <cp:keywords/>
  <dc:description/>
  <cp:lastModifiedBy>Honey, Karen</cp:lastModifiedBy>
  <cp:revision>6</cp:revision>
  <dcterms:created xsi:type="dcterms:W3CDTF">2021-05-26T14:11:00Z</dcterms:created>
  <dcterms:modified xsi:type="dcterms:W3CDTF">2021-05-26T14:38:00Z</dcterms:modified>
</cp:coreProperties>
</file>