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6951" w14:textId="5CC0C6EF" w:rsidR="001D19F4" w:rsidRPr="003739DF" w:rsidRDefault="00FB6F98" w:rsidP="008F05EA">
      <w:pPr>
        <w:spacing w:after="0" w:line="360" w:lineRule="auto"/>
        <w:rPr>
          <w:rFonts w:ascii="Arial" w:hAnsi="Arial" w:cs="Arial"/>
          <w:b/>
          <w:bCs/>
        </w:rPr>
      </w:pPr>
      <w:r w:rsidRPr="003739DF">
        <w:rPr>
          <w:rFonts w:ascii="Arial" w:hAnsi="Arial" w:cs="Arial"/>
          <w:b/>
          <w:bCs/>
          <w:color w:val="000000" w:themeColor="text1"/>
        </w:rPr>
        <w:t xml:space="preserve">Site-dependent immune escape </w:t>
      </w:r>
      <w:r w:rsidR="00B616FC" w:rsidRPr="003739DF">
        <w:rPr>
          <w:rFonts w:ascii="Arial" w:hAnsi="Arial" w:cs="Arial"/>
          <w:b/>
          <w:bCs/>
          <w:color w:val="000000" w:themeColor="text1"/>
        </w:rPr>
        <w:t xml:space="preserve">due to </w:t>
      </w:r>
      <w:r w:rsidR="002E4C98" w:rsidRPr="003739DF">
        <w:rPr>
          <w:rFonts w:ascii="Arial" w:hAnsi="Arial" w:cs="Arial"/>
          <w:b/>
          <w:bCs/>
          <w:color w:val="000000" w:themeColor="text1"/>
        </w:rPr>
        <w:t>impaired</w:t>
      </w:r>
      <w:r w:rsidRPr="003739DF">
        <w:rPr>
          <w:rFonts w:ascii="Arial" w:hAnsi="Arial" w:cs="Arial"/>
          <w:b/>
          <w:bCs/>
          <w:color w:val="000000" w:themeColor="text1"/>
        </w:rPr>
        <w:t xml:space="preserve"> dendritic cell cross-priming</w:t>
      </w:r>
      <w:r w:rsidRPr="003739DF">
        <w:rPr>
          <w:rFonts w:ascii="Arial" w:hAnsi="Arial" w:cs="Arial"/>
          <w:b/>
          <w:bCs/>
        </w:rPr>
        <w:t xml:space="preserve"> </w:t>
      </w:r>
    </w:p>
    <w:p w14:paraId="419BA114" w14:textId="77777777" w:rsidR="00A84853" w:rsidRPr="003739DF" w:rsidRDefault="00A84853" w:rsidP="008F05EA">
      <w:pPr>
        <w:spacing w:after="0" w:line="360" w:lineRule="auto"/>
        <w:rPr>
          <w:rFonts w:ascii="Arial" w:hAnsi="Arial" w:cs="Arial"/>
        </w:rPr>
      </w:pPr>
    </w:p>
    <w:p w14:paraId="71545D68" w14:textId="77777777" w:rsidR="00842907" w:rsidRPr="003739DF" w:rsidRDefault="00842907" w:rsidP="008F05EA">
      <w:pPr>
        <w:spacing w:after="0" w:line="360" w:lineRule="auto"/>
        <w:rPr>
          <w:rFonts w:ascii="Arial" w:hAnsi="Arial" w:cs="Arial"/>
        </w:rPr>
      </w:pPr>
      <w:r w:rsidRPr="003739DF">
        <w:rPr>
          <w:rFonts w:ascii="Arial" w:hAnsi="Arial" w:cs="Arial"/>
        </w:rPr>
        <w:t>Mark S. Diamond</w:t>
      </w:r>
      <w:r w:rsidR="00D52E37" w:rsidRPr="003739DF">
        <w:rPr>
          <w:rFonts w:ascii="Arial" w:hAnsi="Arial" w:cs="Arial"/>
          <w:vertAlign w:val="superscript"/>
        </w:rPr>
        <w:t>1,2</w:t>
      </w:r>
      <w:r w:rsidRPr="003739DF">
        <w:rPr>
          <w:rFonts w:ascii="Arial" w:hAnsi="Arial" w:cs="Arial"/>
        </w:rPr>
        <w:t>, Jeffrey H. Lin</w:t>
      </w:r>
      <w:r w:rsidR="00706442" w:rsidRPr="003739DF">
        <w:rPr>
          <w:rFonts w:ascii="Arial" w:hAnsi="Arial" w:cs="Arial"/>
          <w:vertAlign w:val="superscript"/>
        </w:rPr>
        <w:t>2,3</w:t>
      </w:r>
      <w:r w:rsidR="00EE378E" w:rsidRPr="003739DF">
        <w:rPr>
          <w:rFonts w:ascii="Arial" w:hAnsi="Arial" w:cs="Arial"/>
        </w:rPr>
        <w:t>,</w:t>
      </w:r>
      <w:r w:rsidRPr="003739DF">
        <w:rPr>
          <w:rFonts w:ascii="Arial" w:hAnsi="Arial" w:cs="Arial"/>
        </w:rPr>
        <w:t xml:space="preserve"> Robert H. Vonderheide</w:t>
      </w:r>
      <w:r w:rsidR="00706442" w:rsidRPr="003739DF">
        <w:rPr>
          <w:rFonts w:ascii="Arial" w:hAnsi="Arial" w:cs="Arial"/>
          <w:vertAlign w:val="superscript"/>
        </w:rPr>
        <w:t>1,2</w:t>
      </w:r>
      <w:r w:rsidRPr="003739DF">
        <w:rPr>
          <w:rFonts w:ascii="Arial" w:hAnsi="Arial" w:cs="Arial"/>
        </w:rPr>
        <w:t xml:space="preserve"> </w:t>
      </w:r>
    </w:p>
    <w:p w14:paraId="4C905924" w14:textId="77777777" w:rsidR="00CB68F9" w:rsidRPr="003739DF" w:rsidRDefault="00CB68F9" w:rsidP="008F05EA">
      <w:pPr>
        <w:spacing w:after="0" w:line="360" w:lineRule="auto"/>
        <w:rPr>
          <w:rFonts w:ascii="Arial" w:hAnsi="Arial" w:cs="Arial"/>
        </w:rPr>
      </w:pPr>
    </w:p>
    <w:p w14:paraId="58B88561" w14:textId="77777777" w:rsidR="00C776D0" w:rsidRPr="003739DF" w:rsidRDefault="00D52E37" w:rsidP="008F05EA">
      <w:pPr>
        <w:pStyle w:val="Default"/>
        <w:spacing w:line="360" w:lineRule="auto"/>
        <w:rPr>
          <w:sz w:val="22"/>
          <w:szCs w:val="22"/>
        </w:rPr>
      </w:pPr>
      <w:r w:rsidRPr="003739DF">
        <w:rPr>
          <w:sz w:val="22"/>
          <w:szCs w:val="22"/>
          <w:vertAlign w:val="superscript"/>
        </w:rPr>
        <w:t>1</w:t>
      </w:r>
      <w:r w:rsidRPr="003739DF">
        <w:rPr>
          <w:sz w:val="22"/>
          <w:szCs w:val="22"/>
        </w:rPr>
        <w:t>Division of Hematology</w:t>
      </w:r>
      <w:r w:rsidR="00EC24BB" w:rsidRPr="003739DF">
        <w:rPr>
          <w:sz w:val="22"/>
          <w:szCs w:val="22"/>
        </w:rPr>
        <w:t xml:space="preserve"> </w:t>
      </w:r>
      <w:r w:rsidRPr="003739DF">
        <w:rPr>
          <w:sz w:val="22"/>
          <w:szCs w:val="22"/>
        </w:rPr>
        <w:t>Oncology, Department of Medicine, Perelman School of Medicine</w:t>
      </w:r>
      <w:r w:rsidR="0037429E" w:rsidRPr="003739DF">
        <w:rPr>
          <w:sz w:val="22"/>
          <w:szCs w:val="22"/>
        </w:rPr>
        <w:t xml:space="preserve">, </w:t>
      </w:r>
      <w:r w:rsidRPr="003739DF">
        <w:rPr>
          <w:sz w:val="22"/>
          <w:szCs w:val="22"/>
        </w:rPr>
        <w:t>University of Pennsylvania, P</w:t>
      </w:r>
      <w:r w:rsidR="00842907" w:rsidRPr="003739DF">
        <w:rPr>
          <w:sz w:val="22"/>
          <w:szCs w:val="22"/>
        </w:rPr>
        <w:t>hiladelphia, Pennsylvania</w:t>
      </w:r>
      <w:r w:rsidRPr="003739DF">
        <w:rPr>
          <w:sz w:val="22"/>
          <w:szCs w:val="22"/>
        </w:rPr>
        <w:t>, USA</w:t>
      </w:r>
      <w:r w:rsidR="00842907" w:rsidRPr="003739DF">
        <w:rPr>
          <w:sz w:val="22"/>
          <w:szCs w:val="22"/>
        </w:rPr>
        <w:t xml:space="preserve">. </w:t>
      </w:r>
    </w:p>
    <w:p w14:paraId="39E1C922" w14:textId="77777777" w:rsidR="00C776D0" w:rsidRPr="003739DF" w:rsidRDefault="00D52E37" w:rsidP="008F05EA">
      <w:pPr>
        <w:pStyle w:val="Default"/>
        <w:spacing w:line="360" w:lineRule="auto"/>
        <w:rPr>
          <w:sz w:val="22"/>
          <w:szCs w:val="22"/>
        </w:rPr>
      </w:pPr>
      <w:r w:rsidRPr="003739DF">
        <w:rPr>
          <w:sz w:val="22"/>
          <w:szCs w:val="22"/>
          <w:vertAlign w:val="superscript"/>
        </w:rPr>
        <w:t>2</w:t>
      </w:r>
      <w:r w:rsidRPr="003739DF">
        <w:rPr>
          <w:sz w:val="22"/>
          <w:szCs w:val="22"/>
        </w:rPr>
        <w:t xml:space="preserve">Abramson Cancer Center, University of Pennsylvania, Philadelphia, Pennsylvania, USA. </w:t>
      </w:r>
    </w:p>
    <w:p w14:paraId="25EDF099" w14:textId="77777777" w:rsidR="00C776D0" w:rsidRPr="003739DF" w:rsidRDefault="00D52E37" w:rsidP="008F05EA">
      <w:pPr>
        <w:pStyle w:val="Default"/>
        <w:spacing w:line="360" w:lineRule="auto"/>
        <w:rPr>
          <w:sz w:val="22"/>
          <w:szCs w:val="22"/>
        </w:rPr>
      </w:pPr>
      <w:r w:rsidRPr="003739DF">
        <w:rPr>
          <w:sz w:val="22"/>
          <w:szCs w:val="22"/>
          <w:vertAlign w:val="superscript"/>
        </w:rPr>
        <w:t>3</w:t>
      </w:r>
      <w:r w:rsidR="0037429E" w:rsidRPr="003739DF">
        <w:rPr>
          <w:sz w:val="22"/>
          <w:szCs w:val="22"/>
        </w:rPr>
        <w:t xml:space="preserve">Immunology Graduate Group, </w:t>
      </w:r>
      <w:r w:rsidR="00706442" w:rsidRPr="003739DF">
        <w:rPr>
          <w:sz w:val="22"/>
          <w:szCs w:val="22"/>
        </w:rPr>
        <w:t>Perelman School of Medicine</w:t>
      </w:r>
      <w:r w:rsidR="0037429E" w:rsidRPr="003739DF">
        <w:rPr>
          <w:sz w:val="22"/>
          <w:szCs w:val="22"/>
        </w:rPr>
        <w:t xml:space="preserve">, </w:t>
      </w:r>
      <w:r w:rsidR="00706442" w:rsidRPr="003739DF">
        <w:rPr>
          <w:sz w:val="22"/>
          <w:szCs w:val="22"/>
        </w:rPr>
        <w:t xml:space="preserve">University of Pennsylvania, Philadelphia, Pennsylvania, USA. </w:t>
      </w:r>
    </w:p>
    <w:p w14:paraId="3433EFDB" w14:textId="77777777" w:rsidR="00C776D0" w:rsidRPr="003739DF" w:rsidRDefault="00C776D0" w:rsidP="008F05EA">
      <w:pPr>
        <w:spacing w:after="0" w:line="360" w:lineRule="auto"/>
        <w:rPr>
          <w:rFonts w:ascii="Arial" w:hAnsi="Arial" w:cs="Arial"/>
        </w:rPr>
      </w:pPr>
    </w:p>
    <w:p w14:paraId="0730BF10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7E983FC5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1724D6C8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2AEB9673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24F57A1F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0DF1B83A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3C1E5408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5311ACB6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00AED1FF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338FD903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42E0EC17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2B123233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43D30F2F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01653512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1A6A2FC6" w14:textId="77777777" w:rsidR="00EF6761" w:rsidRDefault="00EF6761" w:rsidP="007E2118">
      <w:pPr>
        <w:spacing w:after="0" w:line="480" w:lineRule="auto"/>
        <w:rPr>
          <w:rFonts w:ascii="Arial" w:hAnsi="Arial" w:cs="Arial"/>
        </w:rPr>
      </w:pPr>
    </w:p>
    <w:p w14:paraId="07CE35D4" w14:textId="2E5F55C5" w:rsidR="007C6B93" w:rsidRPr="003739DF" w:rsidRDefault="007C6B93" w:rsidP="007E2118">
      <w:pPr>
        <w:spacing w:after="0" w:line="480" w:lineRule="auto"/>
        <w:rPr>
          <w:rFonts w:ascii="Arial" w:hAnsi="Arial" w:cs="Arial"/>
        </w:rPr>
      </w:pPr>
      <w:r w:rsidRPr="003739DF">
        <w:rPr>
          <w:rFonts w:ascii="Arial" w:hAnsi="Arial" w:cs="Arial"/>
        </w:rPr>
        <w:t xml:space="preserve"> </w:t>
      </w:r>
    </w:p>
    <w:p w14:paraId="5350A6E9" w14:textId="7326F133" w:rsidR="00841983" w:rsidRPr="003739DF" w:rsidRDefault="00841983" w:rsidP="007E2118">
      <w:pPr>
        <w:spacing w:after="0" w:line="480" w:lineRule="auto"/>
        <w:rPr>
          <w:rFonts w:ascii="Arial" w:hAnsi="Arial" w:cs="Arial"/>
        </w:rPr>
      </w:pPr>
    </w:p>
    <w:p w14:paraId="043FC931" w14:textId="77777777" w:rsidR="007C6B93" w:rsidRPr="003739DF" w:rsidRDefault="007C6B93" w:rsidP="007A4140">
      <w:pPr>
        <w:spacing w:after="0" w:line="480" w:lineRule="auto"/>
        <w:jc w:val="both"/>
        <w:rPr>
          <w:rFonts w:ascii="Arial" w:hAnsi="Arial" w:cs="Arial"/>
        </w:rPr>
      </w:pPr>
      <w:r w:rsidRPr="003739DF">
        <w:rPr>
          <w:rFonts w:ascii="Arial" w:hAnsi="Arial" w:cs="Arial"/>
          <w:b/>
          <w:bCs/>
        </w:rPr>
        <w:lastRenderedPageBreak/>
        <w:t>Supplementary Figure S1.</w:t>
      </w:r>
      <w:r w:rsidRPr="003739DF">
        <w:rPr>
          <w:rFonts w:ascii="Arial" w:hAnsi="Arial" w:cs="Arial"/>
        </w:rPr>
        <w:t xml:space="preserve">  </w:t>
      </w:r>
      <w:r w:rsidRPr="003739DF">
        <w:rPr>
          <w:rFonts w:ascii="Arial" w:hAnsi="Arial" w:cs="Arial"/>
          <w:b/>
          <w:bCs/>
        </w:rPr>
        <w:t>Characterization of Ova-expressing PDAC.</w:t>
      </w:r>
      <w:r w:rsidRPr="003739DF">
        <w:rPr>
          <w:rFonts w:ascii="Arial" w:hAnsi="Arial" w:cs="Arial"/>
        </w:rPr>
        <w:t xml:space="preserve">  (</w:t>
      </w:r>
      <w:r w:rsidRPr="003739DF">
        <w:rPr>
          <w:rFonts w:ascii="Arial" w:hAnsi="Arial" w:cs="Arial"/>
          <w:b/>
          <w:bCs/>
        </w:rPr>
        <w:t>A</w:t>
      </w:r>
      <w:r w:rsidRPr="003739DF">
        <w:rPr>
          <w:rFonts w:ascii="Arial" w:hAnsi="Arial" w:cs="Arial"/>
        </w:rPr>
        <w:t>) 4662 cells, clones derived from 4662 (C9, C10), or clones expressing full-length Ova fused to Td-tomato (V6.Ova, G10.Ova) were analyzed by flow cytometry for expression of Td-tomato, SIINFEKL bound to H-2K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 xml:space="preserve"> (H-2K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>-SIIN), and MHC class I molecules (H-2K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>, H-2D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>) at baseline or following IFN</w:t>
      </w:r>
      <w:r w:rsidRPr="003739DF">
        <w:rPr>
          <w:rFonts w:ascii="Symbol" w:hAnsi="Symbol" w:cs="Arial"/>
        </w:rPr>
        <w:t></w:t>
      </w:r>
      <w:r w:rsidRPr="003739DF">
        <w:rPr>
          <w:rFonts w:ascii="Arial" w:hAnsi="Arial" w:cs="Arial"/>
        </w:rPr>
        <w:t xml:space="preserve"> treatment for 48 hrs.  (</w:t>
      </w:r>
      <w:r w:rsidRPr="003739DF">
        <w:rPr>
          <w:rFonts w:ascii="Arial" w:hAnsi="Arial" w:cs="Arial"/>
          <w:b/>
          <w:bCs/>
        </w:rPr>
        <w:t>B</w:t>
      </w:r>
      <w:r w:rsidRPr="003739DF">
        <w:rPr>
          <w:rFonts w:ascii="Arial" w:hAnsi="Arial" w:cs="Arial"/>
        </w:rPr>
        <w:t xml:space="preserve">) Growth kinetics </w:t>
      </w:r>
      <w:r w:rsidRPr="003739DF">
        <w:rPr>
          <w:rFonts w:ascii="Arial" w:hAnsi="Arial" w:cs="Arial"/>
          <w:i/>
          <w:iCs/>
        </w:rPr>
        <w:t>in vitro</w:t>
      </w:r>
      <w:r w:rsidRPr="003739DF">
        <w:rPr>
          <w:rFonts w:ascii="Arial" w:hAnsi="Arial" w:cs="Arial"/>
        </w:rPr>
        <w:t xml:space="preserve"> of 4662 and V6.Ova cells.  Plots represent mean cell number (± S.D.) for triplicate samples.  (</w:t>
      </w:r>
      <w:r w:rsidRPr="003739DF">
        <w:rPr>
          <w:rFonts w:ascii="Arial" w:hAnsi="Arial" w:cs="Arial"/>
          <w:b/>
          <w:bCs/>
        </w:rPr>
        <w:t>C</w:t>
      </w:r>
      <w:r w:rsidRPr="003739DF">
        <w:rPr>
          <w:rFonts w:ascii="Arial" w:hAnsi="Arial" w:cs="Arial"/>
        </w:rPr>
        <w:t xml:space="preserve">) </w:t>
      </w:r>
      <w:r w:rsidRPr="003739DF">
        <w:rPr>
          <w:rFonts w:ascii="Arial" w:hAnsi="Arial" w:cs="Arial"/>
          <w:i/>
          <w:iCs/>
        </w:rPr>
        <w:t>In vivo</w:t>
      </w:r>
      <w:r w:rsidRPr="003739DF">
        <w:rPr>
          <w:rFonts w:ascii="Arial" w:hAnsi="Arial" w:cs="Arial"/>
        </w:rPr>
        <w:t xml:space="preserve"> growth of 4662 and V6.Ova cells transplanted s.c. at 1.25x10</w:t>
      </w:r>
      <w:r w:rsidRPr="003739DF">
        <w:rPr>
          <w:rFonts w:ascii="Arial" w:hAnsi="Arial" w:cs="Arial"/>
          <w:vertAlign w:val="superscript"/>
        </w:rPr>
        <w:t>5</w:t>
      </w:r>
      <w:r w:rsidRPr="003739DF">
        <w:rPr>
          <w:rFonts w:ascii="Arial" w:hAnsi="Arial" w:cs="Arial"/>
        </w:rPr>
        <w:t xml:space="preserve"> cells/mouse into </w:t>
      </w:r>
      <w:r w:rsidRPr="003739DF">
        <w:rPr>
          <w:rFonts w:ascii="Arial" w:hAnsi="Arial" w:cs="Arial"/>
          <w:i/>
          <w:iCs/>
        </w:rPr>
        <w:t>Rag</w:t>
      </w:r>
      <w:bookmarkStart w:id="0" w:name="_GoBack"/>
      <w:bookmarkEnd w:id="0"/>
      <w:r w:rsidRPr="003739DF">
        <w:rPr>
          <w:rFonts w:ascii="Arial" w:hAnsi="Arial" w:cs="Arial"/>
          <w:i/>
          <w:iCs/>
        </w:rPr>
        <w:t>2</w:t>
      </w:r>
      <w:r w:rsidRPr="003739DF">
        <w:rPr>
          <w:rFonts w:ascii="Arial" w:hAnsi="Arial" w:cs="Arial"/>
          <w:i/>
          <w:iCs/>
          <w:vertAlign w:val="superscript"/>
        </w:rPr>
        <w:t>-/-</w:t>
      </w:r>
      <w:r w:rsidRPr="003739DF">
        <w:rPr>
          <w:rFonts w:ascii="Arial" w:hAnsi="Arial" w:cs="Arial"/>
        </w:rPr>
        <w:t xml:space="preserve"> hosts.  Mean tumor diameters (± S.E.M.) for n=4 mice/group are shown.  (</w:t>
      </w:r>
      <w:r w:rsidRPr="003739DF">
        <w:rPr>
          <w:rFonts w:ascii="Arial" w:hAnsi="Arial" w:cs="Arial"/>
          <w:b/>
          <w:bCs/>
        </w:rPr>
        <w:t>D</w:t>
      </w:r>
      <w:r w:rsidRPr="003739DF">
        <w:rPr>
          <w:rFonts w:ascii="Arial" w:hAnsi="Arial" w:cs="Arial"/>
        </w:rPr>
        <w:t>) Expression of Td-tomato and H-2K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>-SIIN in untreated or IFN</w:t>
      </w:r>
      <w:r w:rsidRPr="003739DF">
        <w:rPr>
          <w:rFonts w:ascii="Symbol" w:hAnsi="Symbol" w:cs="Arial"/>
        </w:rPr>
        <w:t></w:t>
      </w:r>
      <w:r w:rsidRPr="003739DF">
        <w:rPr>
          <w:rFonts w:ascii="Arial" w:hAnsi="Arial" w:cs="Arial"/>
        </w:rPr>
        <w:t xml:space="preserve">-treated 4662, V6.Ova, or long-term (&gt;2 months) </w:t>
      </w:r>
      <w:r w:rsidRPr="003739DF">
        <w:rPr>
          <w:rFonts w:ascii="Arial" w:hAnsi="Arial" w:cs="Arial"/>
          <w:i/>
          <w:iCs/>
        </w:rPr>
        <w:t>in vitro</w:t>
      </w:r>
      <w:r w:rsidRPr="003739DF">
        <w:rPr>
          <w:rFonts w:ascii="Arial" w:hAnsi="Arial" w:cs="Arial"/>
        </w:rPr>
        <w:t xml:space="preserve"> passaged V6.Ova.  (</w:t>
      </w:r>
      <w:r w:rsidRPr="003739DF">
        <w:rPr>
          <w:rFonts w:ascii="Arial" w:hAnsi="Arial" w:cs="Arial"/>
          <w:b/>
          <w:bCs/>
        </w:rPr>
        <w:t>E</w:t>
      </w:r>
      <w:r w:rsidRPr="003739DF">
        <w:rPr>
          <w:rFonts w:ascii="Arial" w:hAnsi="Arial" w:cs="Arial"/>
        </w:rPr>
        <w:t xml:space="preserve">) Representative H&amp;E-stained sections from 4662 and V6.Ova tumors grown s.c. in </w:t>
      </w:r>
      <w:r w:rsidRPr="003739DF">
        <w:rPr>
          <w:rFonts w:ascii="Arial" w:hAnsi="Arial" w:cs="Arial"/>
          <w:i/>
          <w:iCs/>
        </w:rPr>
        <w:t>Rag2</w:t>
      </w:r>
      <w:r w:rsidRPr="003739DF">
        <w:rPr>
          <w:rFonts w:ascii="Arial" w:hAnsi="Arial" w:cs="Arial"/>
          <w:i/>
          <w:iCs/>
          <w:vertAlign w:val="superscript"/>
        </w:rPr>
        <w:t>-/-</w:t>
      </w:r>
      <w:r w:rsidRPr="003739DF">
        <w:rPr>
          <w:rFonts w:ascii="Arial" w:hAnsi="Arial" w:cs="Arial"/>
        </w:rPr>
        <w:t xml:space="preserve"> mice.  (</w:t>
      </w:r>
      <w:r w:rsidRPr="003739DF">
        <w:rPr>
          <w:rFonts w:ascii="Arial" w:hAnsi="Arial" w:cs="Arial"/>
          <w:b/>
          <w:bCs/>
        </w:rPr>
        <w:t>F</w:t>
      </w:r>
      <w:r w:rsidRPr="003739DF">
        <w:rPr>
          <w:rFonts w:ascii="Arial" w:hAnsi="Arial" w:cs="Arial"/>
        </w:rPr>
        <w:t xml:space="preserve">) </w:t>
      </w:r>
      <w:r w:rsidRPr="003739DF">
        <w:rPr>
          <w:rFonts w:ascii="Arial" w:hAnsi="Arial" w:cs="Arial"/>
          <w:i/>
          <w:iCs/>
        </w:rPr>
        <w:t>In vivo</w:t>
      </w:r>
      <w:r w:rsidRPr="003739DF">
        <w:rPr>
          <w:rFonts w:ascii="Arial" w:hAnsi="Arial" w:cs="Arial"/>
        </w:rPr>
        <w:t xml:space="preserve"> growth of C9, C10, and G10.Ova tumor cells in WT mice following s.c., orth., or i.p. injection at 1.25x10</w:t>
      </w:r>
      <w:r w:rsidRPr="003739DF">
        <w:rPr>
          <w:rFonts w:ascii="Arial" w:hAnsi="Arial" w:cs="Arial"/>
          <w:vertAlign w:val="superscript"/>
        </w:rPr>
        <w:t>5</w:t>
      </w:r>
      <w:r w:rsidRPr="003739DF">
        <w:rPr>
          <w:rFonts w:ascii="Arial" w:hAnsi="Arial" w:cs="Arial"/>
        </w:rPr>
        <w:t xml:space="preserve"> cells/mouse (C9, C10) or 1x10</w:t>
      </w:r>
      <w:r w:rsidRPr="003739DF">
        <w:rPr>
          <w:rFonts w:ascii="Arial" w:hAnsi="Arial" w:cs="Arial"/>
          <w:vertAlign w:val="superscript"/>
        </w:rPr>
        <w:t>6</w:t>
      </w:r>
      <w:r w:rsidRPr="003739DF">
        <w:rPr>
          <w:rFonts w:ascii="Arial" w:hAnsi="Arial" w:cs="Arial"/>
        </w:rPr>
        <w:t xml:space="preserve"> cells/mouse (G10.Ova).  Survival curves include n=5-13 mice/group. </w:t>
      </w:r>
    </w:p>
    <w:p w14:paraId="689BB53F" w14:textId="5020778B" w:rsidR="00841983" w:rsidRPr="003739DF" w:rsidRDefault="00841983" w:rsidP="007A4140">
      <w:pPr>
        <w:spacing w:after="0" w:line="480" w:lineRule="auto"/>
        <w:jc w:val="both"/>
        <w:rPr>
          <w:rFonts w:ascii="Arial" w:hAnsi="Arial" w:cs="Arial"/>
        </w:rPr>
      </w:pPr>
    </w:p>
    <w:p w14:paraId="3EDBB6F4" w14:textId="7D8F429C" w:rsidR="00B01F9F" w:rsidRPr="003739DF" w:rsidRDefault="00B01F9F" w:rsidP="007A4140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3739DF">
        <w:rPr>
          <w:rFonts w:ascii="Arial" w:hAnsi="Arial" w:cs="Arial"/>
          <w:b/>
          <w:bCs/>
        </w:rPr>
        <w:t>Supplementary Figure S2.</w:t>
      </w:r>
      <w:r w:rsidRPr="003739DF">
        <w:rPr>
          <w:rFonts w:ascii="Arial" w:hAnsi="Arial" w:cs="Arial"/>
        </w:rPr>
        <w:t xml:space="preserve">  </w:t>
      </w:r>
      <w:r w:rsidRPr="003739DF">
        <w:rPr>
          <w:rFonts w:ascii="Arial" w:hAnsi="Arial" w:cs="Arial"/>
          <w:b/>
          <w:bCs/>
        </w:rPr>
        <w:t xml:space="preserve">Ova tolerance abrogates rejection of orth. PDAC.Ova tumors and the development of lung metastases after i.v. challenge.  </w:t>
      </w:r>
      <w:r w:rsidRPr="003739DF">
        <w:rPr>
          <w:rFonts w:ascii="Arial" w:hAnsi="Arial" w:cs="Arial"/>
        </w:rPr>
        <w:t>(</w:t>
      </w:r>
      <w:r w:rsidRPr="003739DF">
        <w:rPr>
          <w:rFonts w:ascii="Arial" w:hAnsi="Arial" w:cs="Arial"/>
          <w:b/>
          <w:bCs/>
        </w:rPr>
        <w:t>A</w:t>
      </w:r>
      <w:r w:rsidRPr="003739DF">
        <w:rPr>
          <w:rFonts w:ascii="Arial" w:hAnsi="Arial" w:cs="Arial"/>
        </w:rPr>
        <w:t>) Schema for induction of Ova tolerance by oral gavage with Ova or PBS weekly for 3 doses followed one week later by PDAC.Ova injection.  (</w:t>
      </w:r>
      <w:r w:rsidRPr="003739DF">
        <w:rPr>
          <w:rFonts w:ascii="Arial" w:hAnsi="Arial" w:cs="Arial"/>
          <w:b/>
          <w:bCs/>
        </w:rPr>
        <w:t>B</w:t>
      </w:r>
      <w:r w:rsidRPr="003739DF">
        <w:rPr>
          <w:rFonts w:ascii="Arial" w:hAnsi="Arial" w:cs="Arial"/>
        </w:rPr>
        <w:t>-</w:t>
      </w:r>
      <w:r w:rsidRPr="003739DF">
        <w:rPr>
          <w:rFonts w:ascii="Arial" w:hAnsi="Arial" w:cs="Arial"/>
          <w:b/>
          <w:bCs/>
        </w:rPr>
        <w:t>C</w:t>
      </w:r>
      <w:r w:rsidRPr="003739DF">
        <w:rPr>
          <w:rFonts w:ascii="Arial" w:hAnsi="Arial" w:cs="Arial"/>
        </w:rPr>
        <w:t>) Mice treated as in A were challenged with 1.25x10</w:t>
      </w:r>
      <w:r w:rsidRPr="003739DF">
        <w:rPr>
          <w:rFonts w:ascii="Arial" w:hAnsi="Arial" w:cs="Arial"/>
          <w:vertAlign w:val="superscript"/>
        </w:rPr>
        <w:t>5</w:t>
      </w:r>
      <w:r w:rsidRPr="003739DF">
        <w:rPr>
          <w:rFonts w:ascii="Arial" w:hAnsi="Arial" w:cs="Arial"/>
        </w:rPr>
        <w:t xml:space="preserve"> PDAC.Ova tumor cells by orth</w:t>
      </w:r>
      <w:r w:rsidR="006768C9">
        <w:rPr>
          <w:rFonts w:ascii="Arial" w:hAnsi="Arial" w:cs="Arial"/>
        </w:rPr>
        <w:t>otopic</w:t>
      </w:r>
      <w:r w:rsidRPr="003739DF">
        <w:rPr>
          <w:rFonts w:ascii="Arial" w:hAnsi="Arial" w:cs="Arial"/>
        </w:rPr>
        <w:t xml:space="preserve"> injection and tumor growth followed by ultrasound.  Tumor volumes in individual mice for n=6-7 mice/group are shown in B, and the corresponding survival curves in C.  **, p&lt;0.01 by log-rank test.  (</w:t>
      </w:r>
      <w:r w:rsidRPr="003739DF">
        <w:rPr>
          <w:rFonts w:ascii="Arial" w:hAnsi="Arial" w:cs="Arial"/>
          <w:b/>
          <w:bCs/>
        </w:rPr>
        <w:t>D</w:t>
      </w:r>
      <w:r w:rsidRPr="003739DF">
        <w:rPr>
          <w:rFonts w:ascii="Arial" w:hAnsi="Arial" w:cs="Arial"/>
        </w:rPr>
        <w:t xml:space="preserve">) </w:t>
      </w:r>
      <w:r w:rsidRPr="003739DF">
        <w:rPr>
          <w:rFonts w:ascii="Arial" w:hAnsi="Arial" w:cs="Arial"/>
          <w:color w:val="000000" w:themeColor="text1"/>
        </w:rPr>
        <w:t xml:space="preserve">Representative H&amp;E stained lung tissue from control mice, WT mice injected i.v. with PDAC (day 40) or PDAC.Ova (day </w:t>
      </w:r>
      <w:r w:rsidRPr="003739DF">
        <w:rPr>
          <w:rFonts w:ascii="Arial" w:hAnsi="Arial" w:cs="Arial"/>
          <w:color w:val="000000" w:themeColor="text1"/>
        </w:rPr>
        <w:t>90), and Act-mOVA mice injected i.v. with PDAC.Ova (day 25), shown at 4X magnification.  (</w:t>
      </w:r>
      <w:r w:rsidRPr="003739DF">
        <w:rPr>
          <w:rFonts w:ascii="Arial" w:hAnsi="Arial" w:cs="Arial"/>
          <w:b/>
          <w:bCs/>
          <w:color w:val="000000" w:themeColor="text1"/>
        </w:rPr>
        <w:t>E</w:t>
      </w:r>
      <w:r w:rsidRPr="003739DF">
        <w:rPr>
          <w:rFonts w:ascii="Arial" w:hAnsi="Arial" w:cs="Arial"/>
          <w:color w:val="000000" w:themeColor="text1"/>
        </w:rPr>
        <w:t>) Survival curves following PDAC.Ova i.v. injection into WT mice (n=2, 5x10</w:t>
      </w:r>
      <w:r w:rsidRPr="003739DF">
        <w:rPr>
          <w:rFonts w:ascii="Arial" w:hAnsi="Arial" w:cs="Arial"/>
          <w:color w:val="000000" w:themeColor="text1"/>
          <w:vertAlign w:val="superscript"/>
        </w:rPr>
        <w:t>5</w:t>
      </w:r>
      <w:r w:rsidRPr="003739DF">
        <w:rPr>
          <w:rFonts w:ascii="Arial" w:hAnsi="Arial" w:cs="Arial"/>
          <w:color w:val="000000" w:themeColor="text1"/>
        </w:rPr>
        <w:t xml:space="preserve"> cells/mouse) or Act-mOVA mice (n=4, 1.25x10</w:t>
      </w:r>
      <w:r w:rsidRPr="003739DF">
        <w:rPr>
          <w:rFonts w:ascii="Arial" w:hAnsi="Arial" w:cs="Arial"/>
          <w:color w:val="000000" w:themeColor="text1"/>
          <w:vertAlign w:val="superscript"/>
        </w:rPr>
        <w:t>5</w:t>
      </w:r>
      <w:r w:rsidRPr="003739DF">
        <w:rPr>
          <w:rFonts w:ascii="Arial" w:hAnsi="Arial" w:cs="Arial"/>
          <w:color w:val="000000" w:themeColor="text1"/>
        </w:rPr>
        <w:t xml:space="preserve"> cells/mouse). </w:t>
      </w:r>
    </w:p>
    <w:p w14:paraId="08CCBA4F" w14:textId="0D933ACD" w:rsidR="00841983" w:rsidRPr="003739DF" w:rsidRDefault="00841983" w:rsidP="007A4140">
      <w:pPr>
        <w:spacing w:after="0" w:line="480" w:lineRule="auto"/>
        <w:jc w:val="both"/>
        <w:rPr>
          <w:rFonts w:ascii="Arial" w:hAnsi="Arial" w:cs="Arial"/>
        </w:rPr>
      </w:pPr>
    </w:p>
    <w:p w14:paraId="637E8BF9" w14:textId="3A626C67" w:rsidR="00841983" w:rsidRPr="003739DF" w:rsidRDefault="00B01F9F" w:rsidP="007A4140">
      <w:pPr>
        <w:spacing w:after="0" w:line="480" w:lineRule="auto"/>
        <w:jc w:val="both"/>
        <w:rPr>
          <w:rFonts w:ascii="Arial" w:hAnsi="Arial" w:cs="Arial"/>
        </w:rPr>
      </w:pPr>
      <w:r w:rsidRPr="003739DF">
        <w:rPr>
          <w:rFonts w:ascii="Arial" w:hAnsi="Arial" w:cs="Arial"/>
          <w:b/>
          <w:bCs/>
        </w:rPr>
        <w:lastRenderedPageBreak/>
        <w:t xml:space="preserve">Supplementary Figure S3.  </w:t>
      </w:r>
      <w:r w:rsidRPr="003739DF">
        <w:rPr>
          <w:rFonts w:ascii="Arial" w:hAnsi="Arial" w:cs="Arial"/>
          <w:b/>
          <w:bCs/>
        </w:rPr>
        <w:t xml:space="preserve">TIL analysis of s.c. and i.p. PDAC and PDAC.Ova tumors.  </w:t>
      </w:r>
      <w:r w:rsidRPr="003739DF">
        <w:rPr>
          <w:rFonts w:ascii="Arial" w:hAnsi="Arial" w:cs="Arial"/>
        </w:rPr>
        <w:t>(</w:t>
      </w:r>
      <w:r w:rsidRPr="003739DF">
        <w:rPr>
          <w:rFonts w:ascii="Arial" w:hAnsi="Arial" w:cs="Arial"/>
          <w:b/>
          <w:bCs/>
        </w:rPr>
        <w:t>A</w:t>
      </w:r>
      <w:r w:rsidRPr="003739DF">
        <w:rPr>
          <w:rFonts w:ascii="Arial" w:hAnsi="Arial" w:cs="Arial"/>
        </w:rPr>
        <w:t>-</w:t>
      </w:r>
      <w:r w:rsidR="007B5C46">
        <w:rPr>
          <w:rFonts w:ascii="Arial" w:hAnsi="Arial" w:cs="Arial"/>
          <w:b/>
          <w:bCs/>
        </w:rPr>
        <w:t>D</w:t>
      </w:r>
      <w:r w:rsidRPr="003739DF">
        <w:rPr>
          <w:rFonts w:ascii="Arial" w:hAnsi="Arial" w:cs="Arial"/>
        </w:rPr>
        <w:t xml:space="preserve">) Cohorts of WT, Act-mOVA, </w:t>
      </w:r>
      <w:r w:rsidRPr="003739DF">
        <w:rPr>
          <w:rFonts w:ascii="Arial" w:hAnsi="Arial" w:cs="Arial"/>
          <w:i/>
          <w:iCs/>
        </w:rPr>
        <w:t>Batf3</w:t>
      </w:r>
      <w:r w:rsidRPr="003739DF">
        <w:rPr>
          <w:rFonts w:ascii="Arial" w:hAnsi="Arial" w:cs="Arial"/>
          <w:i/>
          <w:iCs/>
          <w:vertAlign w:val="superscript"/>
        </w:rPr>
        <w:t>-/-</w:t>
      </w:r>
      <w:r w:rsidRPr="003739DF">
        <w:rPr>
          <w:rFonts w:ascii="Arial" w:hAnsi="Arial" w:cs="Arial"/>
        </w:rPr>
        <w:t xml:space="preserve">, </w:t>
      </w:r>
      <w:r w:rsidRPr="003739DF">
        <w:rPr>
          <w:rFonts w:ascii="Arial" w:hAnsi="Arial" w:cs="Arial"/>
          <w:i/>
          <w:iCs/>
        </w:rPr>
        <w:t>CD40</w:t>
      </w:r>
      <w:r w:rsidRPr="003739DF">
        <w:rPr>
          <w:rFonts w:ascii="Arial" w:hAnsi="Arial" w:cs="Arial"/>
          <w:i/>
          <w:iCs/>
          <w:vertAlign w:val="superscript"/>
        </w:rPr>
        <w:t>-/-</w:t>
      </w:r>
      <w:r w:rsidRPr="003739DF">
        <w:rPr>
          <w:rFonts w:ascii="Arial" w:hAnsi="Arial" w:cs="Arial"/>
        </w:rPr>
        <w:t xml:space="preserve">, </w:t>
      </w:r>
      <w:r w:rsidRPr="003739DF">
        <w:rPr>
          <w:rFonts w:ascii="Arial" w:hAnsi="Arial" w:cs="Arial"/>
          <w:i/>
          <w:iCs/>
        </w:rPr>
        <w:t>CXCR3</w:t>
      </w:r>
      <w:r w:rsidRPr="003739DF">
        <w:rPr>
          <w:rFonts w:ascii="Arial" w:hAnsi="Arial" w:cs="Arial"/>
          <w:i/>
          <w:iCs/>
          <w:vertAlign w:val="superscript"/>
        </w:rPr>
        <w:t>-/-</w:t>
      </w:r>
      <w:r w:rsidRPr="003739DF">
        <w:rPr>
          <w:rFonts w:ascii="Arial" w:hAnsi="Arial" w:cs="Arial"/>
        </w:rPr>
        <w:t>, WT mice treated with serial OVA oral gavage, or WT mice treated with depleting</w:t>
      </w:r>
      <w:r w:rsidR="007B5C46">
        <w:rPr>
          <w:rFonts w:ascii="Arial" w:hAnsi="Arial" w:cs="Arial"/>
        </w:rPr>
        <w:t xml:space="preserve"> anti-</w:t>
      </w:r>
      <w:r w:rsidRPr="003739DF">
        <w:rPr>
          <w:rFonts w:ascii="Arial" w:hAnsi="Arial" w:cs="Arial"/>
        </w:rPr>
        <w:t>NK1.1 (n=4-11 mice/group) were injected s.c. with 1x10</w:t>
      </w:r>
      <w:r w:rsidRPr="003739DF">
        <w:rPr>
          <w:rFonts w:ascii="Arial" w:hAnsi="Arial" w:cs="Arial"/>
          <w:vertAlign w:val="superscript"/>
        </w:rPr>
        <w:t>6</w:t>
      </w:r>
      <w:r w:rsidRPr="003739DF">
        <w:rPr>
          <w:rFonts w:ascii="Arial" w:hAnsi="Arial" w:cs="Arial"/>
        </w:rPr>
        <w:t xml:space="preserve"> PDAC.Ova or PDAC cells and tumors were harvested at day 9 for flow cytometric analysis.  Tumor weights are shown in A, and quantitation of the specified immune populations in B-</w:t>
      </w:r>
      <w:r w:rsidR="007B5C46">
        <w:rPr>
          <w:rFonts w:ascii="Arial" w:hAnsi="Arial" w:cs="Arial"/>
        </w:rPr>
        <w:t>D</w:t>
      </w:r>
      <w:r w:rsidRPr="003739DF">
        <w:rPr>
          <w:rFonts w:ascii="Arial" w:hAnsi="Arial" w:cs="Arial"/>
        </w:rPr>
        <w:t>.  (</w:t>
      </w:r>
      <w:r w:rsidR="007B5C46">
        <w:rPr>
          <w:rFonts w:ascii="Arial" w:hAnsi="Arial" w:cs="Arial"/>
          <w:b/>
          <w:bCs/>
        </w:rPr>
        <w:t>E</w:t>
      </w:r>
      <w:r w:rsidRPr="003739DF">
        <w:rPr>
          <w:rFonts w:ascii="Arial" w:hAnsi="Arial" w:cs="Arial"/>
        </w:rPr>
        <w:t>-</w:t>
      </w:r>
      <w:r w:rsidR="007B5C46">
        <w:rPr>
          <w:rFonts w:ascii="Arial" w:hAnsi="Arial" w:cs="Arial"/>
          <w:b/>
          <w:bCs/>
        </w:rPr>
        <w:t>G</w:t>
      </w:r>
      <w:r w:rsidRPr="003739DF">
        <w:rPr>
          <w:rFonts w:ascii="Arial" w:hAnsi="Arial" w:cs="Arial"/>
        </w:rPr>
        <w:t>) WT mice (n=5-8 mice/group) were injected i.p. with 1x10</w:t>
      </w:r>
      <w:r w:rsidRPr="003739DF">
        <w:rPr>
          <w:rFonts w:ascii="Arial" w:hAnsi="Arial" w:cs="Arial"/>
          <w:vertAlign w:val="superscript"/>
        </w:rPr>
        <w:t>6</w:t>
      </w:r>
      <w:r w:rsidRPr="003739DF">
        <w:rPr>
          <w:rFonts w:ascii="Arial" w:hAnsi="Arial" w:cs="Arial"/>
        </w:rPr>
        <w:t xml:space="preserve"> PDAC or PDAC.Ova cells and late tumors were harvested for analysis.  Tumor weights are shown in </w:t>
      </w:r>
      <w:r w:rsidR="007B5C46">
        <w:rPr>
          <w:rFonts w:ascii="Arial" w:hAnsi="Arial" w:cs="Arial"/>
        </w:rPr>
        <w:t>E</w:t>
      </w:r>
      <w:r w:rsidRPr="003739DF">
        <w:rPr>
          <w:rFonts w:ascii="Arial" w:hAnsi="Arial" w:cs="Arial"/>
        </w:rPr>
        <w:t xml:space="preserve">, cell density of the indicated immune populations in </w:t>
      </w:r>
      <w:r w:rsidR="007B5C46">
        <w:rPr>
          <w:rFonts w:ascii="Arial" w:hAnsi="Arial" w:cs="Arial"/>
        </w:rPr>
        <w:t>F</w:t>
      </w:r>
      <w:r w:rsidRPr="003739DF">
        <w:rPr>
          <w:rFonts w:ascii="Arial" w:hAnsi="Arial" w:cs="Arial"/>
        </w:rPr>
        <w:t xml:space="preserve">, and quantitation of additional immune subsets in </w:t>
      </w:r>
      <w:r w:rsidR="007B5C46">
        <w:rPr>
          <w:rFonts w:ascii="Arial" w:hAnsi="Arial" w:cs="Arial"/>
        </w:rPr>
        <w:t>G</w:t>
      </w:r>
      <w:r w:rsidRPr="003739DF">
        <w:rPr>
          <w:rFonts w:ascii="Arial" w:hAnsi="Arial" w:cs="Arial"/>
        </w:rPr>
        <w:t xml:space="preserve">.  Group means are indicated, and statistical significance compared to PDAC tumors is designated by asterisks where appropriate.  ****, p&lt;0.0001; ***, p&lt;0.001; **, p&lt;0.01; *, p&lt;0.05, by one-way ANOVA or unpaired t test; N.T., not tested. </w:t>
      </w:r>
      <w:r w:rsidR="007B5C46">
        <w:rPr>
          <w:rFonts w:ascii="Arial" w:hAnsi="Arial" w:cs="Arial"/>
        </w:rPr>
        <w:t xml:space="preserve"> Data reflect at least 2 independent experiments. </w:t>
      </w:r>
    </w:p>
    <w:p w14:paraId="6CBF081C" w14:textId="23B7E474" w:rsidR="00841983" w:rsidRPr="003739DF" w:rsidRDefault="00841983" w:rsidP="007A4140">
      <w:pPr>
        <w:spacing w:after="0" w:line="480" w:lineRule="auto"/>
        <w:jc w:val="both"/>
        <w:rPr>
          <w:rFonts w:ascii="Arial" w:hAnsi="Arial" w:cs="Arial"/>
        </w:rPr>
      </w:pPr>
    </w:p>
    <w:p w14:paraId="6BA67AB9" w14:textId="2D2821D2" w:rsidR="00841983" w:rsidRPr="003739DF" w:rsidRDefault="007E2118" w:rsidP="007A4140">
      <w:pPr>
        <w:spacing w:after="0" w:line="480" w:lineRule="auto"/>
        <w:jc w:val="both"/>
        <w:rPr>
          <w:rFonts w:ascii="Arial" w:hAnsi="Arial" w:cs="Arial"/>
        </w:rPr>
      </w:pPr>
      <w:r w:rsidRPr="003739DF">
        <w:rPr>
          <w:rFonts w:ascii="Arial" w:hAnsi="Arial" w:cs="Arial"/>
          <w:b/>
          <w:bCs/>
        </w:rPr>
        <w:t xml:space="preserve">Supplementary Figure S4.  TIL analysis of late orth. PDAC and PDAC.Ova tumors.  </w:t>
      </w:r>
      <w:r w:rsidR="006768C9" w:rsidRPr="007A4140">
        <w:rPr>
          <w:rFonts w:ascii="Arial" w:hAnsi="Arial" w:cs="Arial"/>
        </w:rPr>
        <w:t>(</w:t>
      </w:r>
      <w:r w:rsidR="006768C9" w:rsidRPr="006768C9">
        <w:rPr>
          <w:rFonts w:ascii="Arial" w:hAnsi="Arial" w:cs="Arial"/>
          <w:b/>
          <w:bCs/>
        </w:rPr>
        <w:t>A</w:t>
      </w:r>
      <w:r w:rsidR="006768C9" w:rsidRPr="007A4140">
        <w:rPr>
          <w:rFonts w:ascii="Arial" w:hAnsi="Arial" w:cs="Arial"/>
        </w:rPr>
        <w:t>-</w:t>
      </w:r>
      <w:r w:rsidR="006768C9" w:rsidRPr="006768C9">
        <w:rPr>
          <w:rFonts w:ascii="Arial" w:hAnsi="Arial" w:cs="Arial"/>
          <w:b/>
          <w:bCs/>
        </w:rPr>
        <w:t>C</w:t>
      </w:r>
      <w:r w:rsidR="006768C9" w:rsidRPr="007A4140">
        <w:rPr>
          <w:rFonts w:ascii="Arial" w:hAnsi="Arial" w:cs="Arial"/>
        </w:rPr>
        <w:t>)</w:t>
      </w:r>
      <w:r w:rsidR="006768C9">
        <w:rPr>
          <w:rFonts w:ascii="Arial" w:hAnsi="Arial" w:cs="Arial"/>
          <w:b/>
          <w:bCs/>
        </w:rPr>
        <w:t xml:space="preserve"> </w:t>
      </w:r>
      <w:r w:rsidRPr="003739DF">
        <w:rPr>
          <w:rFonts w:ascii="Arial" w:hAnsi="Arial" w:cs="Arial"/>
        </w:rPr>
        <w:t xml:space="preserve">Cohorts of WT, Act-mOVA, </w:t>
      </w:r>
      <w:r w:rsidRPr="003739DF">
        <w:rPr>
          <w:rFonts w:ascii="Arial" w:hAnsi="Arial" w:cs="Arial"/>
          <w:i/>
          <w:iCs/>
        </w:rPr>
        <w:t>Batf3</w:t>
      </w:r>
      <w:r w:rsidRPr="003739DF">
        <w:rPr>
          <w:rFonts w:ascii="Arial" w:hAnsi="Arial" w:cs="Arial"/>
          <w:i/>
          <w:iCs/>
          <w:vertAlign w:val="superscript"/>
        </w:rPr>
        <w:t>-/-</w:t>
      </w:r>
      <w:r w:rsidRPr="003739DF">
        <w:rPr>
          <w:rFonts w:ascii="Arial" w:hAnsi="Arial" w:cs="Arial"/>
        </w:rPr>
        <w:t xml:space="preserve">, </w:t>
      </w:r>
      <w:r w:rsidRPr="003739DF">
        <w:rPr>
          <w:rFonts w:ascii="Arial" w:hAnsi="Arial" w:cs="Arial"/>
          <w:i/>
          <w:iCs/>
        </w:rPr>
        <w:t>CD40</w:t>
      </w:r>
      <w:r w:rsidRPr="003739DF">
        <w:rPr>
          <w:rFonts w:ascii="Arial" w:hAnsi="Arial" w:cs="Arial"/>
          <w:i/>
          <w:iCs/>
          <w:vertAlign w:val="superscript"/>
        </w:rPr>
        <w:t>-/-</w:t>
      </w:r>
      <w:r w:rsidRPr="003739DF">
        <w:rPr>
          <w:rFonts w:ascii="Arial" w:hAnsi="Arial" w:cs="Arial"/>
        </w:rPr>
        <w:t>, and WT mice pretreated with serial OVA oral gavage (n=2-7 mice/group) were injected orth</w:t>
      </w:r>
      <w:r w:rsidR="006768C9">
        <w:rPr>
          <w:rFonts w:ascii="Arial" w:hAnsi="Arial" w:cs="Arial"/>
        </w:rPr>
        <w:t xml:space="preserve">otopically </w:t>
      </w:r>
      <w:r w:rsidRPr="003739DF">
        <w:rPr>
          <w:rFonts w:ascii="Arial" w:hAnsi="Arial" w:cs="Arial"/>
        </w:rPr>
        <w:t>with PDAC.Ova or PDAC cells and late tumors were harvested for flow cytometric analysis.  Cell density is shown in A, Ova tet</w:t>
      </w:r>
      <w:r w:rsidRPr="003739DF">
        <w:rPr>
          <w:rFonts w:ascii="Arial" w:hAnsi="Arial" w:cs="Arial"/>
          <w:vertAlign w:val="superscript"/>
        </w:rPr>
        <w:t>+</w:t>
      </w:r>
      <w:r w:rsidRPr="003739DF">
        <w:rPr>
          <w:rFonts w:ascii="Arial" w:hAnsi="Arial" w:cs="Arial"/>
        </w:rPr>
        <w:t xml:space="preserve"> T cells in the spleen or tumor in B, and quantitation of the indicated immune populations in C.  </w:t>
      </w:r>
      <w:r w:rsidR="006768C9">
        <w:rPr>
          <w:rFonts w:ascii="Arial" w:hAnsi="Arial" w:cs="Arial"/>
        </w:rPr>
        <w:t>(</w:t>
      </w:r>
      <w:r w:rsidR="006768C9" w:rsidRPr="007A4140">
        <w:rPr>
          <w:rFonts w:ascii="Arial" w:hAnsi="Arial" w:cs="Arial"/>
          <w:b/>
          <w:bCs/>
        </w:rPr>
        <w:t>D</w:t>
      </w:r>
      <w:r w:rsidR="006768C9">
        <w:rPr>
          <w:rFonts w:ascii="Arial" w:hAnsi="Arial" w:cs="Arial"/>
        </w:rPr>
        <w:t>-</w:t>
      </w:r>
      <w:r w:rsidR="006768C9" w:rsidRPr="007A4140">
        <w:rPr>
          <w:rFonts w:ascii="Arial" w:hAnsi="Arial" w:cs="Arial"/>
          <w:b/>
          <w:bCs/>
        </w:rPr>
        <w:t>F</w:t>
      </w:r>
      <w:r w:rsidR="006768C9">
        <w:rPr>
          <w:rFonts w:ascii="Arial" w:hAnsi="Arial" w:cs="Arial"/>
        </w:rPr>
        <w:t xml:space="preserve">) </w:t>
      </w:r>
      <w:r w:rsidR="000210FE">
        <w:rPr>
          <w:rFonts w:ascii="Arial" w:hAnsi="Arial" w:cs="Arial"/>
        </w:rPr>
        <w:t xml:space="preserve">Immunophenotyping of </w:t>
      </w:r>
      <w:r w:rsidR="006768C9">
        <w:rPr>
          <w:rFonts w:ascii="Arial" w:hAnsi="Arial" w:cs="Arial"/>
        </w:rPr>
        <w:t>T cells isolated from s.c. (D) or orth. (E-F) tumors</w:t>
      </w:r>
      <w:r w:rsidR="000210FE">
        <w:rPr>
          <w:rFonts w:ascii="Arial" w:hAnsi="Arial" w:cs="Arial"/>
        </w:rPr>
        <w:t xml:space="preserve"> for the indicated markers.  </w:t>
      </w:r>
      <w:r w:rsidRPr="003739DF">
        <w:rPr>
          <w:rFonts w:ascii="Arial" w:hAnsi="Arial" w:cs="Arial"/>
        </w:rPr>
        <w:t xml:space="preserve">Group means are denoted, error bars in F reflect S.E.M, and statistical significance compared to PDAC tumors in WT mice is designated by asterisks where appropriate.  ****, p&lt;0.0001; **, p&lt;0.01; *, p&lt;0.05, by one-way ANOVA. </w:t>
      </w:r>
      <w:r w:rsidR="000210FE">
        <w:rPr>
          <w:rFonts w:ascii="Arial" w:hAnsi="Arial" w:cs="Arial"/>
        </w:rPr>
        <w:t xml:space="preserve"> Data include at least 2 independent experiments. </w:t>
      </w:r>
    </w:p>
    <w:p w14:paraId="6788FD90" w14:textId="1BAF6C03" w:rsidR="00841983" w:rsidRPr="003739DF" w:rsidRDefault="00841983" w:rsidP="007A4140">
      <w:pPr>
        <w:spacing w:after="0" w:line="480" w:lineRule="auto"/>
        <w:jc w:val="both"/>
        <w:rPr>
          <w:rFonts w:ascii="Arial" w:hAnsi="Arial" w:cs="Arial"/>
        </w:rPr>
      </w:pPr>
    </w:p>
    <w:p w14:paraId="45C1B835" w14:textId="5F675400" w:rsidR="007E2118" w:rsidRPr="003739DF" w:rsidRDefault="007E2118" w:rsidP="007A4140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3739DF">
        <w:rPr>
          <w:rFonts w:ascii="Arial" w:hAnsi="Arial" w:cs="Arial"/>
          <w:b/>
          <w:bCs/>
        </w:rPr>
        <w:t>Supplementary Figure S5.</w:t>
      </w:r>
      <w:r w:rsidRPr="003739DF">
        <w:rPr>
          <w:rFonts w:ascii="Arial" w:hAnsi="Arial" w:cs="Arial"/>
        </w:rPr>
        <w:t xml:space="preserve">  </w:t>
      </w:r>
      <w:r w:rsidRPr="003739DF">
        <w:rPr>
          <w:rFonts w:ascii="Arial" w:hAnsi="Arial" w:cs="Arial"/>
          <w:b/>
          <w:bCs/>
        </w:rPr>
        <w:t xml:space="preserve">Expression of maturation markers in tumor-associated cDC1s.  </w:t>
      </w:r>
      <w:r w:rsidRPr="003739DF">
        <w:rPr>
          <w:rFonts w:ascii="Arial" w:hAnsi="Arial" w:cs="Arial"/>
        </w:rPr>
        <w:t>(</w:t>
      </w:r>
      <w:r w:rsidRPr="003739DF">
        <w:rPr>
          <w:rFonts w:ascii="Arial" w:hAnsi="Arial" w:cs="Arial"/>
          <w:b/>
          <w:bCs/>
        </w:rPr>
        <w:t>A</w:t>
      </w:r>
      <w:r w:rsidRPr="003739DF">
        <w:rPr>
          <w:rFonts w:ascii="Arial" w:hAnsi="Arial" w:cs="Arial"/>
        </w:rPr>
        <w:t>-</w:t>
      </w:r>
      <w:r w:rsidRPr="003739DF">
        <w:rPr>
          <w:rFonts w:ascii="Arial" w:hAnsi="Arial" w:cs="Arial"/>
          <w:b/>
          <w:bCs/>
        </w:rPr>
        <w:t>B</w:t>
      </w:r>
      <w:r w:rsidRPr="003739DF">
        <w:rPr>
          <w:rFonts w:ascii="Arial" w:hAnsi="Arial" w:cs="Arial"/>
        </w:rPr>
        <w:t xml:space="preserve">) </w:t>
      </w:r>
      <w:r w:rsidRPr="003739DF">
        <w:rPr>
          <w:rFonts w:ascii="Arial" w:hAnsi="Arial" w:cs="Arial"/>
          <w:color w:val="000000" w:themeColor="text1"/>
        </w:rPr>
        <w:t xml:space="preserve">Tumors and tumor-draining </w:t>
      </w:r>
      <w:r w:rsidR="000210FE">
        <w:rPr>
          <w:rFonts w:ascii="Arial" w:hAnsi="Arial" w:cs="Arial"/>
          <w:color w:val="000000" w:themeColor="text1"/>
        </w:rPr>
        <w:t>lymph nodes (</w:t>
      </w:r>
      <w:r w:rsidRPr="003739DF">
        <w:rPr>
          <w:rFonts w:ascii="Arial" w:hAnsi="Arial" w:cs="Arial"/>
          <w:color w:val="000000" w:themeColor="text1"/>
        </w:rPr>
        <w:t>LNs</w:t>
      </w:r>
      <w:r w:rsidR="000210FE">
        <w:rPr>
          <w:rFonts w:ascii="Arial" w:hAnsi="Arial" w:cs="Arial"/>
          <w:color w:val="000000" w:themeColor="text1"/>
        </w:rPr>
        <w:t>)</w:t>
      </w:r>
      <w:r w:rsidRPr="003739DF">
        <w:rPr>
          <w:rFonts w:ascii="Arial" w:hAnsi="Arial" w:cs="Arial"/>
          <w:color w:val="000000" w:themeColor="text1"/>
        </w:rPr>
        <w:t xml:space="preserve"> were harvested from WT mice following implantation with PDAC or PDAC.Ova tumor cells via the specified route.  Expression of the </w:t>
      </w:r>
      <w:r w:rsidRPr="003739DF">
        <w:rPr>
          <w:rFonts w:ascii="Arial" w:hAnsi="Arial" w:cs="Arial"/>
          <w:color w:val="000000" w:themeColor="text1"/>
        </w:rPr>
        <w:lastRenderedPageBreak/>
        <w:t xml:space="preserve">indicated immune markers in cDC1s are shown for n= 2-4 mice/group.  Plots represent median MFI of staining minus isotype control, with gating strategy for cDC1s as described in Methods.  </w:t>
      </w:r>
      <w:r w:rsidR="000210FE">
        <w:rPr>
          <w:rFonts w:ascii="Arial" w:hAnsi="Arial" w:cs="Arial"/>
          <w:color w:val="000000" w:themeColor="text1"/>
        </w:rPr>
        <w:t xml:space="preserve">Panels </w:t>
      </w:r>
      <w:r w:rsidRPr="003739DF">
        <w:rPr>
          <w:rFonts w:ascii="Arial" w:hAnsi="Arial" w:cs="Arial"/>
          <w:color w:val="000000" w:themeColor="text1"/>
        </w:rPr>
        <w:t xml:space="preserve">A and B </w:t>
      </w:r>
      <w:r w:rsidR="000210FE">
        <w:rPr>
          <w:rFonts w:ascii="Arial" w:hAnsi="Arial" w:cs="Arial"/>
          <w:color w:val="000000" w:themeColor="text1"/>
        </w:rPr>
        <w:t xml:space="preserve">represent </w:t>
      </w:r>
      <w:r w:rsidRPr="003739DF">
        <w:rPr>
          <w:rFonts w:ascii="Arial" w:hAnsi="Arial" w:cs="Arial"/>
          <w:color w:val="000000" w:themeColor="text1"/>
        </w:rPr>
        <w:t>independent experiments and MFIs are not directly comparable.  Naïve LN in B included mLN and ppLN.  Spl, spleen; iLN, inguinal</w:t>
      </w:r>
      <w:r w:rsidR="000210FE">
        <w:rPr>
          <w:rFonts w:ascii="Arial" w:hAnsi="Arial" w:cs="Arial"/>
          <w:color w:val="000000" w:themeColor="text1"/>
        </w:rPr>
        <w:t xml:space="preserve"> LN, </w:t>
      </w:r>
      <w:r w:rsidRPr="003739DF">
        <w:rPr>
          <w:rFonts w:ascii="Arial" w:hAnsi="Arial" w:cs="Arial"/>
          <w:color w:val="000000" w:themeColor="text1"/>
        </w:rPr>
        <w:t>mLN, mesenteric</w:t>
      </w:r>
      <w:r w:rsidR="000210FE">
        <w:rPr>
          <w:rFonts w:ascii="Arial" w:hAnsi="Arial" w:cs="Arial"/>
          <w:color w:val="000000" w:themeColor="text1"/>
        </w:rPr>
        <w:t xml:space="preserve"> LN</w:t>
      </w:r>
      <w:r w:rsidRPr="003739DF">
        <w:rPr>
          <w:rFonts w:ascii="Arial" w:hAnsi="Arial" w:cs="Arial"/>
          <w:color w:val="000000" w:themeColor="text1"/>
        </w:rPr>
        <w:t xml:space="preserve">, ppLN, peripancreatic </w:t>
      </w:r>
      <w:r w:rsidR="000210FE">
        <w:rPr>
          <w:rFonts w:ascii="Arial" w:hAnsi="Arial" w:cs="Arial"/>
          <w:color w:val="000000" w:themeColor="text1"/>
        </w:rPr>
        <w:t>LN</w:t>
      </w:r>
      <w:r w:rsidRPr="003739DF">
        <w:rPr>
          <w:rFonts w:ascii="Arial" w:hAnsi="Arial" w:cs="Arial"/>
          <w:color w:val="000000" w:themeColor="text1"/>
        </w:rPr>
        <w:t xml:space="preserve">. </w:t>
      </w:r>
    </w:p>
    <w:p w14:paraId="480FD92E" w14:textId="181C5E6C" w:rsidR="00841983" w:rsidRPr="003739DF" w:rsidRDefault="00841983" w:rsidP="007A4140">
      <w:pPr>
        <w:spacing w:after="0" w:line="480" w:lineRule="auto"/>
        <w:jc w:val="both"/>
        <w:rPr>
          <w:rFonts w:ascii="Arial" w:hAnsi="Arial" w:cs="Arial"/>
        </w:rPr>
      </w:pPr>
    </w:p>
    <w:p w14:paraId="4CB3AE28" w14:textId="4B073AC4" w:rsidR="007E2118" w:rsidRPr="003739DF" w:rsidRDefault="007E2118" w:rsidP="007A4140">
      <w:pPr>
        <w:spacing w:after="0" w:line="480" w:lineRule="auto"/>
        <w:jc w:val="both"/>
        <w:rPr>
          <w:rFonts w:ascii="Arial" w:hAnsi="Arial" w:cs="Arial"/>
        </w:rPr>
      </w:pPr>
      <w:r w:rsidRPr="003739DF">
        <w:rPr>
          <w:rFonts w:ascii="Arial" w:hAnsi="Arial" w:cs="Arial"/>
          <w:b/>
          <w:bCs/>
        </w:rPr>
        <w:t>Supplementary Figure S6.  Differential requirement for CD4</w:t>
      </w:r>
      <w:r w:rsidRPr="003739DF">
        <w:rPr>
          <w:rFonts w:ascii="Arial" w:hAnsi="Arial" w:cs="Arial"/>
          <w:b/>
          <w:bCs/>
          <w:vertAlign w:val="superscript"/>
        </w:rPr>
        <w:t>+</w:t>
      </w:r>
      <w:r w:rsidRPr="003739DF">
        <w:rPr>
          <w:rFonts w:ascii="Arial" w:hAnsi="Arial" w:cs="Arial"/>
          <w:b/>
          <w:bCs/>
        </w:rPr>
        <w:t xml:space="preserve"> cells in the rejection of s.c. vs</w:t>
      </w:r>
      <w:r w:rsidR="00F86AF9">
        <w:rPr>
          <w:rFonts w:ascii="Arial" w:hAnsi="Arial" w:cs="Arial"/>
          <w:b/>
          <w:bCs/>
        </w:rPr>
        <w:t>.</w:t>
      </w:r>
      <w:r w:rsidRPr="003739DF">
        <w:rPr>
          <w:rFonts w:ascii="Arial" w:hAnsi="Arial" w:cs="Arial"/>
          <w:b/>
          <w:bCs/>
        </w:rPr>
        <w:t xml:space="preserve"> orth</w:t>
      </w:r>
      <w:r w:rsidR="00F86AF9">
        <w:rPr>
          <w:rFonts w:ascii="Arial" w:hAnsi="Arial" w:cs="Arial"/>
          <w:b/>
          <w:bCs/>
        </w:rPr>
        <w:t xml:space="preserve">otopic </w:t>
      </w:r>
      <w:r w:rsidRPr="003739DF">
        <w:rPr>
          <w:rFonts w:ascii="Arial" w:hAnsi="Arial" w:cs="Arial"/>
          <w:b/>
          <w:bCs/>
        </w:rPr>
        <w:t>PDAC.Ova tumors.</w:t>
      </w:r>
      <w:r w:rsidRPr="003739DF">
        <w:rPr>
          <w:rFonts w:ascii="Arial" w:hAnsi="Arial" w:cs="Arial"/>
        </w:rPr>
        <w:t xml:space="preserve">  WT mice were injected s.c. (</w:t>
      </w:r>
      <w:r w:rsidRPr="003739DF">
        <w:rPr>
          <w:rFonts w:ascii="Arial" w:hAnsi="Arial" w:cs="Arial"/>
          <w:b/>
          <w:bCs/>
        </w:rPr>
        <w:t>A</w:t>
      </w:r>
      <w:r w:rsidRPr="003739DF">
        <w:rPr>
          <w:rFonts w:ascii="Arial" w:hAnsi="Arial" w:cs="Arial"/>
        </w:rPr>
        <w:t>-</w:t>
      </w:r>
      <w:r w:rsidRPr="003739DF">
        <w:rPr>
          <w:rFonts w:ascii="Arial" w:hAnsi="Arial" w:cs="Arial"/>
          <w:b/>
          <w:bCs/>
        </w:rPr>
        <w:t>B</w:t>
      </w:r>
      <w:r w:rsidRPr="003739DF">
        <w:rPr>
          <w:rFonts w:ascii="Arial" w:hAnsi="Arial" w:cs="Arial"/>
        </w:rPr>
        <w:t>) or orth</w:t>
      </w:r>
      <w:r w:rsidR="00F86AF9">
        <w:rPr>
          <w:rFonts w:ascii="Arial" w:hAnsi="Arial" w:cs="Arial"/>
        </w:rPr>
        <w:t xml:space="preserve">otopically </w:t>
      </w:r>
      <w:r w:rsidRPr="003739DF">
        <w:rPr>
          <w:rFonts w:ascii="Arial" w:hAnsi="Arial" w:cs="Arial"/>
        </w:rPr>
        <w:t>(</w:t>
      </w:r>
      <w:r w:rsidRPr="003739DF">
        <w:rPr>
          <w:rFonts w:ascii="Arial" w:hAnsi="Arial" w:cs="Arial"/>
          <w:b/>
          <w:bCs/>
        </w:rPr>
        <w:t>C</w:t>
      </w:r>
      <w:r w:rsidRPr="003739DF">
        <w:rPr>
          <w:rFonts w:ascii="Arial" w:hAnsi="Arial" w:cs="Arial"/>
        </w:rPr>
        <w:t>-</w:t>
      </w:r>
      <w:r w:rsidRPr="003739DF">
        <w:rPr>
          <w:rFonts w:ascii="Arial" w:hAnsi="Arial" w:cs="Arial"/>
          <w:b/>
          <w:bCs/>
        </w:rPr>
        <w:t>D</w:t>
      </w:r>
      <w:r w:rsidRPr="003739DF">
        <w:rPr>
          <w:rFonts w:ascii="Arial" w:hAnsi="Arial" w:cs="Arial"/>
        </w:rPr>
        <w:t>) with 1.25x10</w:t>
      </w:r>
      <w:r w:rsidRPr="003739DF">
        <w:rPr>
          <w:rFonts w:ascii="Arial" w:hAnsi="Arial" w:cs="Arial"/>
          <w:vertAlign w:val="superscript"/>
        </w:rPr>
        <w:t>5</w:t>
      </w:r>
      <w:r w:rsidRPr="003739DF">
        <w:rPr>
          <w:rFonts w:ascii="Arial" w:hAnsi="Arial" w:cs="Arial"/>
        </w:rPr>
        <w:t xml:space="preserve"> PDAC.Ova tumor cells and treated with ctrl Ig,</w:t>
      </w:r>
      <w:r w:rsidR="00F86AF9">
        <w:rPr>
          <w:rFonts w:ascii="Arial" w:hAnsi="Arial" w:cs="Arial"/>
        </w:rPr>
        <w:t xml:space="preserve"> anti-</w:t>
      </w:r>
      <w:r w:rsidRPr="003739DF">
        <w:rPr>
          <w:rFonts w:ascii="Arial" w:hAnsi="Arial" w:cs="Arial"/>
        </w:rPr>
        <w:t>CD4, or</w:t>
      </w:r>
      <w:r w:rsidR="00F86AF9">
        <w:rPr>
          <w:rFonts w:ascii="Arial" w:hAnsi="Arial" w:cs="Arial"/>
        </w:rPr>
        <w:t xml:space="preserve"> anti-</w:t>
      </w:r>
      <w:r w:rsidRPr="003739DF">
        <w:rPr>
          <w:rFonts w:ascii="Arial" w:hAnsi="Arial" w:cs="Arial"/>
        </w:rPr>
        <w:t>CD8 (n=8-10 mice/group).  Tumor growth and survival were monitored.  Mean tumor diameters or tumor volumes from individual mice by ultrasound are shown in A and C, with the corresponding survival curves in B and D.  One non-tumor bearing mouse in the s.c.</w:t>
      </w:r>
      <w:r w:rsidR="00F86AF9">
        <w:rPr>
          <w:rFonts w:ascii="Arial" w:hAnsi="Arial" w:cs="Arial"/>
        </w:rPr>
        <w:t xml:space="preserve"> anti-</w:t>
      </w:r>
      <w:r w:rsidRPr="003739DF">
        <w:rPr>
          <w:rFonts w:ascii="Arial" w:hAnsi="Arial" w:cs="Arial"/>
        </w:rPr>
        <w:t xml:space="preserve">CD4 group was censored at day 56 due to dermatitis requiring euthanasia.  ***, p&lt;0.001; n.s., not significant, by log-rank test. </w:t>
      </w:r>
      <w:r w:rsidR="00F86AF9">
        <w:rPr>
          <w:rFonts w:ascii="Arial" w:hAnsi="Arial" w:cs="Arial"/>
        </w:rPr>
        <w:t xml:space="preserve"> Data reflect 2 independent experiments with group sizes as indicated. </w:t>
      </w:r>
    </w:p>
    <w:p w14:paraId="582A6CE7" w14:textId="08909698" w:rsidR="00841983" w:rsidRPr="003739DF" w:rsidRDefault="00841983" w:rsidP="007A4140">
      <w:pPr>
        <w:spacing w:after="0" w:line="480" w:lineRule="auto"/>
        <w:jc w:val="both"/>
        <w:rPr>
          <w:rFonts w:ascii="Arial" w:hAnsi="Arial" w:cs="Arial"/>
        </w:rPr>
      </w:pPr>
    </w:p>
    <w:p w14:paraId="7B22F82E" w14:textId="65546C89" w:rsidR="007E2118" w:rsidRPr="003739DF" w:rsidRDefault="007E2118" w:rsidP="007A4140">
      <w:pPr>
        <w:spacing w:after="0" w:line="480" w:lineRule="auto"/>
        <w:jc w:val="both"/>
        <w:rPr>
          <w:rFonts w:ascii="Arial" w:hAnsi="Arial" w:cs="Arial"/>
        </w:rPr>
      </w:pPr>
      <w:r w:rsidRPr="003739DF">
        <w:rPr>
          <w:rFonts w:ascii="Arial" w:hAnsi="Arial" w:cs="Arial"/>
          <w:b/>
          <w:bCs/>
        </w:rPr>
        <w:t>Supplementary Figure S7.</w:t>
      </w:r>
      <w:r w:rsidRPr="003739DF">
        <w:rPr>
          <w:rFonts w:ascii="Arial" w:hAnsi="Arial" w:cs="Arial"/>
        </w:rPr>
        <w:t xml:space="preserve">  </w:t>
      </w:r>
      <w:r w:rsidRPr="003739DF">
        <w:rPr>
          <w:rFonts w:ascii="Arial" w:hAnsi="Arial" w:cs="Arial"/>
          <w:b/>
          <w:bCs/>
        </w:rPr>
        <w:t>Efficacy of CD40 agonist monotherapy is dependent on tumor antigenicity.</w:t>
      </w:r>
      <w:r w:rsidRPr="003739DF">
        <w:rPr>
          <w:rFonts w:ascii="Arial" w:hAnsi="Arial" w:cs="Arial"/>
        </w:rPr>
        <w:t xml:space="preserve">  (</w:t>
      </w:r>
      <w:r w:rsidRPr="003739DF">
        <w:rPr>
          <w:rFonts w:ascii="Arial" w:hAnsi="Arial" w:cs="Arial"/>
          <w:b/>
          <w:bCs/>
        </w:rPr>
        <w:t>A</w:t>
      </w:r>
      <w:r w:rsidRPr="003739DF">
        <w:rPr>
          <w:rFonts w:ascii="Arial" w:hAnsi="Arial" w:cs="Arial"/>
        </w:rPr>
        <w:t>-</w:t>
      </w:r>
      <w:r w:rsidRPr="003739DF">
        <w:rPr>
          <w:rFonts w:ascii="Arial" w:hAnsi="Arial" w:cs="Arial"/>
          <w:b/>
          <w:bCs/>
        </w:rPr>
        <w:t>B</w:t>
      </w:r>
      <w:r w:rsidRPr="003739DF">
        <w:rPr>
          <w:rFonts w:ascii="Arial" w:hAnsi="Arial" w:cs="Arial"/>
        </w:rPr>
        <w:t>) WT mice were injected orth</w:t>
      </w:r>
      <w:r w:rsidR="00F86AF9">
        <w:rPr>
          <w:rFonts w:ascii="Arial" w:hAnsi="Arial" w:cs="Arial"/>
        </w:rPr>
        <w:t xml:space="preserve">otopically </w:t>
      </w:r>
      <w:r w:rsidRPr="003739DF">
        <w:rPr>
          <w:rFonts w:ascii="Arial" w:hAnsi="Arial" w:cs="Arial"/>
        </w:rPr>
        <w:t>with 1x10</w:t>
      </w:r>
      <w:r w:rsidRPr="003739DF">
        <w:rPr>
          <w:rFonts w:ascii="Arial" w:hAnsi="Arial" w:cs="Arial"/>
          <w:vertAlign w:val="superscript"/>
        </w:rPr>
        <w:t>6</w:t>
      </w:r>
      <w:r w:rsidRPr="003739DF">
        <w:rPr>
          <w:rFonts w:ascii="Arial" w:hAnsi="Arial" w:cs="Arial"/>
        </w:rPr>
        <w:t xml:space="preserve"> PDAC cells and treated on day 7 with either ctrl Ig or </w:t>
      </w:r>
      <w:r w:rsidR="00F86AF9">
        <w:rPr>
          <w:rFonts w:ascii="Arial" w:hAnsi="Arial" w:cs="Arial"/>
        </w:rPr>
        <w:t>agonistic anti-</w:t>
      </w:r>
      <w:r w:rsidRPr="003739DF">
        <w:rPr>
          <w:rFonts w:ascii="Arial" w:hAnsi="Arial" w:cs="Arial"/>
        </w:rPr>
        <w:t>CD40.  Tumor growth kinetics (A) or survival (B) are shown for n=4-5 mice/group.  (</w:t>
      </w:r>
      <w:r w:rsidRPr="003739DF">
        <w:rPr>
          <w:rFonts w:ascii="Arial" w:hAnsi="Arial" w:cs="Arial"/>
          <w:b/>
          <w:bCs/>
        </w:rPr>
        <w:t>C</w:t>
      </w:r>
      <w:r w:rsidRPr="003739DF">
        <w:rPr>
          <w:rFonts w:ascii="Arial" w:hAnsi="Arial" w:cs="Arial"/>
        </w:rPr>
        <w:t>) WT mice were injected i.p. with 1x10</w:t>
      </w:r>
      <w:r w:rsidRPr="003739DF">
        <w:rPr>
          <w:rFonts w:ascii="Arial" w:hAnsi="Arial" w:cs="Arial"/>
          <w:vertAlign w:val="superscript"/>
        </w:rPr>
        <w:t>6</w:t>
      </w:r>
      <w:r w:rsidRPr="003739DF">
        <w:rPr>
          <w:rFonts w:ascii="Arial" w:hAnsi="Arial" w:cs="Arial"/>
        </w:rPr>
        <w:t xml:space="preserve"> PDAC cells and treated on day 7 with either ctrl Ig or CD40 agonist and survival was monitored for n=5 mice/group.  **, p&lt;0.01; n.s., not significant, by log-rank test. </w:t>
      </w:r>
    </w:p>
    <w:p w14:paraId="67BCDFC9" w14:textId="4CE22584" w:rsidR="00841983" w:rsidRPr="003739DF" w:rsidRDefault="00841983" w:rsidP="007A4140">
      <w:pPr>
        <w:spacing w:after="0" w:line="480" w:lineRule="auto"/>
        <w:jc w:val="both"/>
        <w:rPr>
          <w:rFonts w:ascii="Arial" w:hAnsi="Arial" w:cs="Arial"/>
        </w:rPr>
      </w:pPr>
    </w:p>
    <w:p w14:paraId="2307E0C9" w14:textId="7BC7F1D4" w:rsidR="007E2118" w:rsidRPr="003739DF" w:rsidRDefault="007E2118" w:rsidP="007A4140">
      <w:pPr>
        <w:spacing w:after="0" w:line="480" w:lineRule="auto"/>
        <w:jc w:val="both"/>
        <w:rPr>
          <w:rFonts w:ascii="Arial" w:hAnsi="Arial" w:cs="Arial"/>
        </w:rPr>
      </w:pPr>
      <w:r w:rsidRPr="003739DF">
        <w:rPr>
          <w:rFonts w:ascii="Arial" w:hAnsi="Arial" w:cs="Arial"/>
          <w:b/>
          <w:bCs/>
        </w:rPr>
        <w:t>Supplementary Figure S8.</w:t>
      </w:r>
      <w:r w:rsidRPr="003739DF">
        <w:rPr>
          <w:rFonts w:ascii="Arial" w:hAnsi="Arial" w:cs="Arial"/>
        </w:rPr>
        <w:t xml:space="preserve">  </w:t>
      </w:r>
      <w:r w:rsidRPr="003739DF">
        <w:rPr>
          <w:rFonts w:ascii="Arial" w:hAnsi="Arial" w:cs="Arial"/>
          <w:b/>
          <w:bCs/>
        </w:rPr>
        <w:t>Lack of neoantigen or MHC class I loss in PDAC.Ova escape tumors from</w:t>
      </w:r>
      <w:r w:rsidR="00F848A2">
        <w:rPr>
          <w:rFonts w:ascii="Arial" w:hAnsi="Arial" w:cs="Arial"/>
          <w:b/>
          <w:bCs/>
        </w:rPr>
        <w:t xml:space="preserve"> anti-</w:t>
      </w:r>
      <w:r w:rsidRPr="003739DF">
        <w:rPr>
          <w:rFonts w:ascii="Arial" w:hAnsi="Arial" w:cs="Arial"/>
          <w:b/>
          <w:bCs/>
        </w:rPr>
        <w:t>PD-1 treated mice.</w:t>
      </w:r>
      <w:r w:rsidRPr="003739DF">
        <w:rPr>
          <w:rFonts w:ascii="Arial" w:hAnsi="Arial" w:cs="Arial"/>
        </w:rPr>
        <w:t xml:space="preserve">  PDAC, PDAC.Ova, and cell lines generated from orth. escape tumors in</w:t>
      </w:r>
      <w:r w:rsidR="00F848A2">
        <w:rPr>
          <w:rFonts w:ascii="Arial" w:hAnsi="Arial" w:cs="Arial"/>
        </w:rPr>
        <w:t xml:space="preserve"> anti-</w:t>
      </w:r>
      <w:r w:rsidRPr="003739DF">
        <w:rPr>
          <w:rFonts w:ascii="Arial" w:hAnsi="Arial" w:cs="Arial"/>
        </w:rPr>
        <w:t xml:space="preserve">PD-1 treated WT mice (n=2, </w:t>
      </w:r>
      <w:r w:rsidRPr="003739DF">
        <w:rPr>
          <w:rFonts w:ascii="Symbol" w:hAnsi="Symbol" w:cs="Arial"/>
        </w:rPr>
        <w:t></w:t>
      </w:r>
      <w:r w:rsidRPr="003739DF">
        <w:rPr>
          <w:rFonts w:ascii="Arial" w:hAnsi="Arial" w:cs="Arial"/>
        </w:rPr>
        <w:t>PD-1 orth. ‘escape’) were analyzed by flow cytometry for expression of Td-tomato (</w:t>
      </w:r>
      <w:r w:rsidRPr="003739DF">
        <w:rPr>
          <w:rFonts w:ascii="Arial" w:hAnsi="Arial" w:cs="Arial"/>
          <w:b/>
          <w:bCs/>
        </w:rPr>
        <w:t>A</w:t>
      </w:r>
      <w:r w:rsidRPr="003739DF">
        <w:rPr>
          <w:rFonts w:ascii="Arial" w:hAnsi="Arial" w:cs="Arial"/>
        </w:rPr>
        <w:t>), H-2K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>-SIIN (</w:t>
      </w:r>
      <w:r w:rsidRPr="003739DF">
        <w:rPr>
          <w:rFonts w:ascii="Arial" w:hAnsi="Arial" w:cs="Arial"/>
          <w:b/>
          <w:bCs/>
        </w:rPr>
        <w:t>B</w:t>
      </w:r>
      <w:r w:rsidRPr="003739DF">
        <w:rPr>
          <w:rFonts w:ascii="Arial" w:hAnsi="Arial" w:cs="Arial"/>
        </w:rPr>
        <w:t>), MHC class I molecules (H-2K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>, H-2D</w:t>
      </w:r>
      <w:r w:rsidRPr="003739DF">
        <w:rPr>
          <w:rFonts w:ascii="Arial" w:hAnsi="Arial" w:cs="Arial"/>
          <w:vertAlign w:val="superscript"/>
        </w:rPr>
        <w:t>b</w:t>
      </w:r>
      <w:r w:rsidRPr="003739DF">
        <w:rPr>
          <w:rFonts w:ascii="Arial" w:hAnsi="Arial" w:cs="Arial"/>
        </w:rPr>
        <w:t xml:space="preserve">) </w:t>
      </w:r>
      <w:r w:rsidRPr="003739DF">
        <w:rPr>
          <w:rFonts w:ascii="Arial" w:hAnsi="Arial" w:cs="Arial"/>
        </w:rPr>
        <w:lastRenderedPageBreak/>
        <w:t>(</w:t>
      </w:r>
      <w:r w:rsidRPr="003739DF">
        <w:rPr>
          <w:rFonts w:ascii="Arial" w:hAnsi="Arial" w:cs="Arial"/>
          <w:b/>
          <w:bCs/>
        </w:rPr>
        <w:t>C</w:t>
      </w:r>
      <w:r w:rsidRPr="003739DF">
        <w:rPr>
          <w:rFonts w:ascii="Arial" w:hAnsi="Arial" w:cs="Arial"/>
        </w:rPr>
        <w:t>), and PD-L1 (</w:t>
      </w:r>
      <w:r w:rsidRPr="003739DF">
        <w:rPr>
          <w:rFonts w:ascii="Arial" w:hAnsi="Arial" w:cs="Arial"/>
          <w:b/>
          <w:bCs/>
        </w:rPr>
        <w:t>D</w:t>
      </w:r>
      <w:r w:rsidRPr="003739DF">
        <w:rPr>
          <w:rFonts w:ascii="Arial" w:hAnsi="Arial" w:cs="Arial"/>
        </w:rPr>
        <w:t>) in untreated cells (black lines) or following IFN</w:t>
      </w:r>
      <w:r w:rsidRPr="003739DF">
        <w:rPr>
          <w:rFonts w:ascii="Symbol" w:hAnsi="Symbol" w:cs="Arial"/>
        </w:rPr>
        <w:t></w:t>
      </w:r>
      <w:r w:rsidRPr="003739DF">
        <w:rPr>
          <w:rFonts w:ascii="Arial" w:hAnsi="Arial" w:cs="Arial"/>
        </w:rPr>
        <w:t xml:space="preserve"> treatment for 48 h</w:t>
      </w:r>
      <w:r w:rsidR="00F848A2">
        <w:rPr>
          <w:rFonts w:ascii="Arial" w:hAnsi="Arial" w:cs="Arial"/>
        </w:rPr>
        <w:t>ou</w:t>
      </w:r>
      <w:r w:rsidRPr="003739DF">
        <w:rPr>
          <w:rFonts w:ascii="Arial" w:hAnsi="Arial" w:cs="Arial"/>
        </w:rPr>
        <w:t>rs (blue lines).  Isotype control staining is shown in shaded gray lines.  (</w:t>
      </w:r>
      <w:r w:rsidRPr="003739DF">
        <w:rPr>
          <w:rFonts w:ascii="Arial" w:hAnsi="Arial" w:cs="Arial"/>
          <w:b/>
          <w:bCs/>
        </w:rPr>
        <w:t>E</w:t>
      </w:r>
      <w:r w:rsidRPr="003739DF">
        <w:rPr>
          <w:rFonts w:ascii="Arial" w:hAnsi="Arial" w:cs="Arial"/>
        </w:rPr>
        <w:t xml:space="preserve">) </w:t>
      </w:r>
      <w:r w:rsidRPr="003739DF">
        <w:rPr>
          <w:rFonts w:ascii="Arial" w:hAnsi="Arial" w:cs="Arial"/>
          <w:color w:val="000000" w:themeColor="text1"/>
        </w:rPr>
        <w:t xml:space="preserve">Comparison of MHC class I, MHC class II, and PD-L1 levels by flow cytometry on </w:t>
      </w:r>
      <w:r w:rsidRPr="003739DF">
        <w:rPr>
          <w:rFonts w:ascii="Arial" w:hAnsi="Arial" w:cs="Arial"/>
          <w:i/>
          <w:iCs/>
          <w:color w:val="000000" w:themeColor="text1"/>
        </w:rPr>
        <w:t>ex vivo</w:t>
      </w:r>
      <w:r w:rsidRPr="003739DF">
        <w:rPr>
          <w:rFonts w:ascii="Arial" w:hAnsi="Arial" w:cs="Arial"/>
          <w:color w:val="000000" w:themeColor="text1"/>
        </w:rPr>
        <w:t xml:space="preserve"> s.c. PDAC and PDAC.Ova tumors at day 9 (n=5 mice each) with untreated and IFN</w:t>
      </w:r>
      <w:r w:rsidRPr="003739DF">
        <w:rPr>
          <w:rFonts w:ascii="Symbol" w:hAnsi="Symbol" w:cs="Arial"/>
          <w:color w:val="000000" w:themeColor="text1"/>
        </w:rPr>
        <w:t></w:t>
      </w:r>
      <w:r w:rsidRPr="003739DF">
        <w:rPr>
          <w:rFonts w:ascii="Arial" w:hAnsi="Arial" w:cs="Arial"/>
          <w:color w:val="000000" w:themeColor="text1"/>
        </w:rPr>
        <w:t xml:space="preserve">-treated </w:t>
      </w:r>
      <w:r w:rsidRPr="003739DF">
        <w:rPr>
          <w:rFonts w:ascii="Arial" w:hAnsi="Arial" w:cs="Arial"/>
          <w:i/>
          <w:iCs/>
          <w:color w:val="000000" w:themeColor="text1"/>
        </w:rPr>
        <w:t>in vitro</w:t>
      </w:r>
      <w:r w:rsidRPr="003739DF">
        <w:rPr>
          <w:rFonts w:ascii="Arial" w:hAnsi="Arial" w:cs="Arial"/>
          <w:color w:val="000000" w:themeColor="text1"/>
        </w:rPr>
        <w:t xml:space="preserve"> tumor cells.  Plots reflect geometric mean fluorescence intensity (gMFI) of staining minus isotype control staining. </w:t>
      </w:r>
    </w:p>
    <w:p w14:paraId="697EEA04" w14:textId="3D76005C" w:rsidR="00841983" w:rsidRPr="003739DF" w:rsidRDefault="00841983" w:rsidP="007E2118">
      <w:pPr>
        <w:spacing w:after="0" w:line="480" w:lineRule="auto"/>
        <w:rPr>
          <w:rFonts w:ascii="Arial" w:hAnsi="Arial" w:cs="Arial"/>
        </w:rPr>
      </w:pPr>
    </w:p>
    <w:sectPr w:rsidR="00841983" w:rsidRPr="003739DF" w:rsidSect="0009250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1314" w16cex:dateUtc="2021-04-29T15:12:00Z"/>
  <w16cex:commentExtensible w16cex:durableId="24351330" w16cex:dateUtc="2021-04-29T15:12:00Z"/>
  <w16cex:commentExtensible w16cex:durableId="2435139B" w16cex:dateUtc="2021-04-29T15:14:00Z"/>
  <w16cex:commentExtensible w16cex:durableId="243513E8" w16cex:dateUtc="2021-04-29T15:15:00Z"/>
  <w16cex:commentExtensible w16cex:durableId="24351469" w16cex:dateUtc="2021-04-29T15:18:00Z"/>
  <w16cex:commentExtensible w16cex:durableId="243517A3" w16cex:dateUtc="2021-04-29T15:31:00Z"/>
  <w16cex:commentExtensible w16cex:durableId="243516A0" w16cex:dateUtc="2021-04-29T15:27:00Z"/>
  <w16cex:commentExtensible w16cex:durableId="243516DB" w16cex:dateUtc="2021-04-29T15:28:00Z"/>
  <w16cex:commentExtensible w16cex:durableId="24351724" w16cex:dateUtc="2021-04-29T15:29:00Z"/>
  <w16cex:commentExtensible w16cex:durableId="24351730" w16cex:dateUtc="2021-04-29T15:29:00Z"/>
  <w16cex:commentExtensible w16cex:durableId="24352430" w16cex:dateUtc="2021-04-29T16:25:00Z"/>
  <w16cex:commentExtensible w16cex:durableId="24352433" w16cex:dateUtc="2021-04-29T16:25:00Z"/>
  <w16cex:commentExtensible w16cex:durableId="2435180C" w16cex:dateUtc="2021-04-29T15:33:00Z"/>
  <w16cex:commentExtensible w16cex:durableId="24351840" w16cex:dateUtc="2021-04-29T15:34:00Z"/>
  <w16cex:commentExtensible w16cex:durableId="24351855" w16cex:dateUtc="2021-04-29T15:34:00Z"/>
  <w16cex:commentExtensible w16cex:durableId="24351871" w16cex:dateUtc="2021-04-29T15:35:00Z"/>
  <w16cex:commentExtensible w16cex:durableId="24351901" w16cex:dateUtc="2021-04-29T15:37:00Z"/>
  <w16cex:commentExtensible w16cex:durableId="24351AFD" w16cex:dateUtc="2021-04-29T15:46:00Z"/>
  <w16cex:commentExtensible w16cex:durableId="2435199A" w16cex:dateUtc="2021-04-29T15:40:00Z"/>
  <w16cex:commentExtensible w16cex:durableId="24438C92" w16cex:dateUtc="2021-05-10T14:42:00Z"/>
  <w16cex:commentExtensible w16cex:durableId="24351A05" w16cex:dateUtc="2021-04-29T15:41:00Z"/>
  <w16cex:commentExtensible w16cex:durableId="24351A16" w16cex:dateUtc="2021-04-29T15:42:00Z"/>
  <w16cex:commentExtensible w16cex:durableId="24351A62" w16cex:dateUtc="2021-04-29T15:43:00Z"/>
  <w16cex:commentExtensible w16cex:durableId="243520FD" w16cex:dateUtc="2021-04-29T16:11:00Z"/>
  <w16cex:commentExtensible w16cex:durableId="24351F48" w16cex:dateUtc="2021-04-29T16:04:00Z"/>
  <w16cex:commentExtensible w16cex:durableId="24351E98" w16cex:dateUtc="2021-04-29T16:01:00Z"/>
  <w16cex:commentExtensible w16cex:durableId="243521B0" w16cex:dateUtc="2021-04-29T16:14:00Z"/>
  <w16cex:commentExtensible w16cex:durableId="243522B6" w16cex:dateUtc="2021-04-29T16:19:00Z"/>
  <w16cex:commentExtensible w16cex:durableId="24352390" w16cex:dateUtc="2021-04-29T16:22:00Z"/>
  <w16cex:commentExtensible w16cex:durableId="243523FC" w16cex:dateUtc="2021-04-29T16:24:00Z"/>
  <w16cex:commentExtensible w16cex:durableId="243525C7" w16cex:dateUtc="2021-04-29T16:32:00Z"/>
  <w16cex:commentExtensible w16cex:durableId="24352649" w16cex:dateUtc="2021-04-29T16:34:00Z"/>
  <w16cex:commentExtensible w16cex:durableId="24441025" w16cex:dateUtc="2021-04-29T16:39:00Z"/>
  <w16cex:commentExtensible w16cex:durableId="24441024" w16cex:dateUtc="2021-04-29T16:39:00Z"/>
  <w16cex:commentExtensible w16cex:durableId="24352700" w16cex:dateUtc="2021-04-29T16:37:00Z"/>
  <w16cex:commentExtensible w16cex:durableId="24352779" w16cex:dateUtc="2021-04-29T16:39:00Z"/>
  <w16cex:commentExtensible w16cex:durableId="2435278F" w16cex:dateUtc="2021-04-29T16:39:00Z"/>
  <w16cex:commentExtensible w16cex:durableId="2444DBE9" w16cex:dateUtc="2021-04-29T16:44:00Z"/>
  <w16cex:commentExtensible w16cex:durableId="24352886" w16cex:dateUtc="2021-04-29T16:43:00Z"/>
  <w16cex:commentExtensible w16cex:durableId="2435289E" w16cex:dateUtc="2021-04-29T16:44:00Z"/>
  <w16cex:commentExtensible w16cex:durableId="24352FFC" w16cex:dateUtc="2021-04-29T17:15:00Z"/>
  <w16cex:commentExtensible w16cex:durableId="2435310B" w16cex:dateUtc="2021-04-29T17:20:00Z"/>
  <w16cex:commentExtensible w16cex:durableId="243532C1" w16cex:dateUtc="2021-04-29T17:27:00Z"/>
  <w16cex:commentExtensible w16cex:durableId="24353638" w16cex:dateUtc="2021-04-29T17:42:00Z"/>
  <w16cex:commentExtensible w16cex:durableId="243538B1" w16cex:dateUtc="2021-04-29T17:52:00Z"/>
  <w16cex:commentExtensible w16cex:durableId="24353D33" w16cex:dateUtc="2021-04-29T18:12:00Z"/>
  <w16cex:commentExtensible w16cex:durableId="24353D38" w16cex:dateUtc="2021-04-29T18:12:00Z"/>
  <w16cex:commentExtensible w16cex:durableId="243540A6" w16cex:dateUtc="2021-04-29T18:26:00Z"/>
  <w16cex:commentExtensible w16cex:durableId="24353D3C" w16cex:dateUtc="2021-04-29T18:12:00Z"/>
  <w16cex:commentExtensible w16cex:durableId="24353D40" w16cex:dateUtc="2021-04-29T18:12:00Z"/>
  <w16cex:commentExtensible w16cex:durableId="24353D44" w16cex:dateUtc="2021-04-29T18:12:00Z"/>
  <w16cex:commentExtensible w16cex:durableId="24353BDE" w16cex:dateUtc="2021-04-29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B09B00" w16cid:durableId="24351314"/>
  <w16cid:commentId w16cid:paraId="5E8CF27B" w16cid:durableId="24351330"/>
  <w16cid:commentId w16cid:paraId="71E79CF8" w16cid:durableId="2435139B"/>
  <w16cid:commentId w16cid:paraId="7A4B2ECF" w16cid:durableId="243513E8"/>
  <w16cid:commentId w16cid:paraId="4BD712FC" w16cid:durableId="24351469"/>
  <w16cid:commentId w16cid:paraId="44D82551" w16cid:durableId="243517A3"/>
  <w16cid:commentId w16cid:paraId="1127DF35" w16cid:durableId="243516A0"/>
  <w16cid:commentId w16cid:paraId="6189A134" w16cid:durableId="243516DB"/>
  <w16cid:commentId w16cid:paraId="49EE2618" w16cid:durableId="24351724"/>
  <w16cid:commentId w16cid:paraId="499CD9E9" w16cid:durableId="24351730"/>
  <w16cid:commentId w16cid:paraId="38C4F257" w16cid:durableId="24352430"/>
  <w16cid:commentId w16cid:paraId="159B289F" w16cid:durableId="24352433"/>
  <w16cid:commentId w16cid:paraId="55E530D4" w16cid:durableId="2435180C"/>
  <w16cid:commentId w16cid:paraId="7C26FC78" w16cid:durableId="24351840"/>
  <w16cid:commentId w16cid:paraId="35866224" w16cid:durableId="24351855"/>
  <w16cid:commentId w16cid:paraId="22B20DD9" w16cid:durableId="24351871"/>
  <w16cid:commentId w16cid:paraId="47F2382B" w16cid:durableId="24351901"/>
  <w16cid:commentId w16cid:paraId="3BEC478B" w16cid:durableId="24351AFD"/>
  <w16cid:commentId w16cid:paraId="5BE89FD1" w16cid:durableId="2435199A"/>
  <w16cid:commentId w16cid:paraId="49967974" w16cid:durableId="24438C92"/>
  <w16cid:commentId w16cid:paraId="3CF142DC" w16cid:durableId="24351A05"/>
  <w16cid:commentId w16cid:paraId="4F596894" w16cid:durableId="24351A16"/>
  <w16cid:commentId w16cid:paraId="6292696E" w16cid:durableId="24351A62"/>
  <w16cid:commentId w16cid:paraId="094FC604" w16cid:durableId="243520FD"/>
  <w16cid:commentId w16cid:paraId="53CB1527" w16cid:durableId="24351F48"/>
  <w16cid:commentId w16cid:paraId="48E6B69D" w16cid:durableId="24351E98"/>
  <w16cid:commentId w16cid:paraId="6F8B7937" w16cid:durableId="243521B0"/>
  <w16cid:commentId w16cid:paraId="69F06E62" w16cid:durableId="243522B6"/>
  <w16cid:commentId w16cid:paraId="067D4905" w16cid:durableId="24352390"/>
  <w16cid:commentId w16cid:paraId="3E9EFF70" w16cid:durableId="243523FC"/>
  <w16cid:commentId w16cid:paraId="725774D9" w16cid:durableId="243525C7"/>
  <w16cid:commentId w16cid:paraId="3B7E054E" w16cid:durableId="24352649"/>
  <w16cid:commentId w16cid:paraId="387F7A79" w16cid:durableId="24441025"/>
  <w16cid:commentId w16cid:paraId="0D8A4854" w16cid:durableId="24441024"/>
  <w16cid:commentId w16cid:paraId="458BC625" w16cid:durableId="24352700"/>
  <w16cid:commentId w16cid:paraId="1AC66ED7" w16cid:durableId="24352779"/>
  <w16cid:commentId w16cid:paraId="104FBE17" w16cid:durableId="2435278F"/>
  <w16cid:commentId w16cid:paraId="3C27D1C1" w16cid:durableId="2444DBE9"/>
  <w16cid:commentId w16cid:paraId="4B1DEE74" w16cid:durableId="24352886"/>
  <w16cid:commentId w16cid:paraId="7B79A108" w16cid:durableId="2435289E"/>
  <w16cid:commentId w16cid:paraId="20AC6170" w16cid:durableId="24352FFC"/>
  <w16cid:commentId w16cid:paraId="4313D4B0" w16cid:durableId="2435310B"/>
  <w16cid:commentId w16cid:paraId="5A799D46" w16cid:durableId="243532C1"/>
  <w16cid:commentId w16cid:paraId="6521FE6F" w16cid:durableId="24353638"/>
  <w16cid:commentId w16cid:paraId="6FC62915" w16cid:durableId="243538B1"/>
  <w16cid:commentId w16cid:paraId="409FBD2A" w16cid:durableId="24353D33"/>
  <w16cid:commentId w16cid:paraId="7E83AD10" w16cid:durableId="24353D38"/>
  <w16cid:commentId w16cid:paraId="3D4BC507" w16cid:durableId="243540A6"/>
  <w16cid:commentId w16cid:paraId="2F06C564" w16cid:durableId="24353D3C"/>
  <w16cid:commentId w16cid:paraId="43A9DA8D" w16cid:durableId="24353D40"/>
  <w16cid:commentId w16cid:paraId="295208F2" w16cid:durableId="24353D44"/>
  <w16cid:commentId w16cid:paraId="3E4E915C" w16cid:durableId="24353B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B17A" w14:textId="77777777" w:rsidR="006F285B" w:rsidRDefault="006F285B" w:rsidP="0009250A">
      <w:pPr>
        <w:spacing w:after="0" w:line="240" w:lineRule="auto"/>
      </w:pPr>
      <w:r>
        <w:separator/>
      </w:r>
    </w:p>
  </w:endnote>
  <w:endnote w:type="continuationSeparator" w:id="0">
    <w:p w14:paraId="3D0D0C5B" w14:textId="77777777" w:rsidR="006F285B" w:rsidRDefault="006F285B" w:rsidP="0009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1378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91B11A9" w14:textId="148C74D0" w:rsidR="004E0605" w:rsidRPr="0009250A" w:rsidRDefault="004E060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9250A">
          <w:rPr>
            <w:rFonts w:ascii="Arial" w:hAnsi="Arial" w:cs="Arial"/>
            <w:sz w:val="18"/>
            <w:szCs w:val="18"/>
          </w:rPr>
          <w:fldChar w:fldCharType="begin"/>
        </w:r>
        <w:r w:rsidRPr="0009250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9250A">
          <w:rPr>
            <w:rFonts w:ascii="Arial" w:hAnsi="Arial" w:cs="Arial"/>
            <w:sz w:val="18"/>
            <w:szCs w:val="18"/>
          </w:rPr>
          <w:fldChar w:fldCharType="separate"/>
        </w:r>
        <w:r w:rsidR="007A4140">
          <w:rPr>
            <w:rFonts w:ascii="Arial" w:hAnsi="Arial" w:cs="Arial"/>
            <w:noProof/>
            <w:sz w:val="18"/>
            <w:szCs w:val="18"/>
          </w:rPr>
          <w:t>4</w:t>
        </w:r>
        <w:r w:rsidRPr="0009250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E8138D1" w14:textId="77777777" w:rsidR="004E0605" w:rsidRDefault="004E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53C5" w14:textId="77777777" w:rsidR="006F285B" w:rsidRDefault="006F285B" w:rsidP="0009250A">
      <w:pPr>
        <w:spacing w:after="0" w:line="240" w:lineRule="auto"/>
      </w:pPr>
      <w:r>
        <w:separator/>
      </w:r>
    </w:p>
  </w:footnote>
  <w:footnote w:type="continuationSeparator" w:id="0">
    <w:p w14:paraId="3B964623" w14:textId="77777777" w:rsidR="006F285B" w:rsidRDefault="006F285B" w:rsidP="0009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116"/>
    <w:multiLevelType w:val="hybridMultilevel"/>
    <w:tmpl w:val="CFA4811C"/>
    <w:lvl w:ilvl="0" w:tplc="76AE50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0AE2"/>
    <w:multiLevelType w:val="hybridMultilevel"/>
    <w:tmpl w:val="D63E822E"/>
    <w:lvl w:ilvl="0" w:tplc="98F81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Immunol R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xzazdvms9psgexet2xde9n9sf5t2pdfded&quot;&gt;TME endnote library-Converted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0B29FD"/>
    <w:rsid w:val="00000944"/>
    <w:rsid w:val="00003C9D"/>
    <w:rsid w:val="00005C2B"/>
    <w:rsid w:val="000062A9"/>
    <w:rsid w:val="0000721A"/>
    <w:rsid w:val="000112DE"/>
    <w:rsid w:val="00011FDF"/>
    <w:rsid w:val="00020F37"/>
    <w:rsid w:val="000210FE"/>
    <w:rsid w:val="0002229E"/>
    <w:rsid w:val="000236B5"/>
    <w:rsid w:val="000236FE"/>
    <w:rsid w:val="000248D3"/>
    <w:rsid w:val="00025F4C"/>
    <w:rsid w:val="00026A53"/>
    <w:rsid w:val="00027D91"/>
    <w:rsid w:val="000312F3"/>
    <w:rsid w:val="000318DC"/>
    <w:rsid w:val="0003345E"/>
    <w:rsid w:val="00036EBD"/>
    <w:rsid w:val="00040DB3"/>
    <w:rsid w:val="000414BD"/>
    <w:rsid w:val="00042D76"/>
    <w:rsid w:val="00043BDF"/>
    <w:rsid w:val="0004675D"/>
    <w:rsid w:val="00046B62"/>
    <w:rsid w:val="0005145F"/>
    <w:rsid w:val="00053183"/>
    <w:rsid w:val="000533B5"/>
    <w:rsid w:val="00054B97"/>
    <w:rsid w:val="00056D3E"/>
    <w:rsid w:val="00064F2E"/>
    <w:rsid w:val="00066175"/>
    <w:rsid w:val="000661B5"/>
    <w:rsid w:val="00071996"/>
    <w:rsid w:val="00071A82"/>
    <w:rsid w:val="00071D51"/>
    <w:rsid w:val="0007219F"/>
    <w:rsid w:val="00072BB3"/>
    <w:rsid w:val="00073A40"/>
    <w:rsid w:val="00074411"/>
    <w:rsid w:val="00074505"/>
    <w:rsid w:val="000767AB"/>
    <w:rsid w:val="000775DB"/>
    <w:rsid w:val="000843A5"/>
    <w:rsid w:val="000843ED"/>
    <w:rsid w:val="0008493E"/>
    <w:rsid w:val="00085732"/>
    <w:rsid w:val="00085828"/>
    <w:rsid w:val="00086739"/>
    <w:rsid w:val="00087B98"/>
    <w:rsid w:val="000905D2"/>
    <w:rsid w:val="0009250A"/>
    <w:rsid w:val="00093094"/>
    <w:rsid w:val="00093FA1"/>
    <w:rsid w:val="000A49F9"/>
    <w:rsid w:val="000A4A31"/>
    <w:rsid w:val="000A55D0"/>
    <w:rsid w:val="000A5B2B"/>
    <w:rsid w:val="000A677E"/>
    <w:rsid w:val="000A7B38"/>
    <w:rsid w:val="000A7B62"/>
    <w:rsid w:val="000B09EF"/>
    <w:rsid w:val="000B1063"/>
    <w:rsid w:val="000B29FD"/>
    <w:rsid w:val="000B3242"/>
    <w:rsid w:val="000B4AFB"/>
    <w:rsid w:val="000B7229"/>
    <w:rsid w:val="000B733B"/>
    <w:rsid w:val="000C3657"/>
    <w:rsid w:val="000C39AB"/>
    <w:rsid w:val="000C3D76"/>
    <w:rsid w:val="000C41E0"/>
    <w:rsid w:val="000C45C8"/>
    <w:rsid w:val="000C6218"/>
    <w:rsid w:val="000D272A"/>
    <w:rsid w:val="000D66D7"/>
    <w:rsid w:val="000E1D5F"/>
    <w:rsid w:val="000E3E2D"/>
    <w:rsid w:val="000E482B"/>
    <w:rsid w:val="000E516A"/>
    <w:rsid w:val="000E5349"/>
    <w:rsid w:val="000E5A80"/>
    <w:rsid w:val="000F1314"/>
    <w:rsid w:val="000F5052"/>
    <w:rsid w:val="00101934"/>
    <w:rsid w:val="001020FA"/>
    <w:rsid w:val="001034C4"/>
    <w:rsid w:val="00103BC1"/>
    <w:rsid w:val="0010662A"/>
    <w:rsid w:val="00106D5E"/>
    <w:rsid w:val="00106FFE"/>
    <w:rsid w:val="00110690"/>
    <w:rsid w:val="00122D04"/>
    <w:rsid w:val="00125EE1"/>
    <w:rsid w:val="001264DF"/>
    <w:rsid w:val="00127FAC"/>
    <w:rsid w:val="001308C6"/>
    <w:rsid w:val="00132119"/>
    <w:rsid w:val="00132E91"/>
    <w:rsid w:val="00134800"/>
    <w:rsid w:val="001348FD"/>
    <w:rsid w:val="0013649F"/>
    <w:rsid w:val="00136D7D"/>
    <w:rsid w:val="00140574"/>
    <w:rsid w:val="00142386"/>
    <w:rsid w:val="00142EBB"/>
    <w:rsid w:val="001479AC"/>
    <w:rsid w:val="00147AF5"/>
    <w:rsid w:val="00150F5E"/>
    <w:rsid w:val="0015299B"/>
    <w:rsid w:val="0015321B"/>
    <w:rsid w:val="00155500"/>
    <w:rsid w:val="0015662C"/>
    <w:rsid w:val="00156957"/>
    <w:rsid w:val="001569F5"/>
    <w:rsid w:val="0016297B"/>
    <w:rsid w:val="00162F6A"/>
    <w:rsid w:val="00164395"/>
    <w:rsid w:val="00171857"/>
    <w:rsid w:val="00172905"/>
    <w:rsid w:val="00173EDF"/>
    <w:rsid w:val="0017497A"/>
    <w:rsid w:val="00174C83"/>
    <w:rsid w:val="00175225"/>
    <w:rsid w:val="001768F1"/>
    <w:rsid w:val="00177AE7"/>
    <w:rsid w:val="001826AB"/>
    <w:rsid w:val="00184F3A"/>
    <w:rsid w:val="00192505"/>
    <w:rsid w:val="001927B4"/>
    <w:rsid w:val="00194547"/>
    <w:rsid w:val="00194BE0"/>
    <w:rsid w:val="00194D98"/>
    <w:rsid w:val="00195447"/>
    <w:rsid w:val="00195FBA"/>
    <w:rsid w:val="001964BF"/>
    <w:rsid w:val="001A15E0"/>
    <w:rsid w:val="001A26B5"/>
    <w:rsid w:val="001A3C42"/>
    <w:rsid w:val="001A5CFE"/>
    <w:rsid w:val="001A638F"/>
    <w:rsid w:val="001A7448"/>
    <w:rsid w:val="001A78D8"/>
    <w:rsid w:val="001B00C0"/>
    <w:rsid w:val="001B0377"/>
    <w:rsid w:val="001B268B"/>
    <w:rsid w:val="001B4703"/>
    <w:rsid w:val="001B4914"/>
    <w:rsid w:val="001B4B73"/>
    <w:rsid w:val="001C1458"/>
    <w:rsid w:val="001C2C24"/>
    <w:rsid w:val="001C492E"/>
    <w:rsid w:val="001C4EA0"/>
    <w:rsid w:val="001C59C3"/>
    <w:rsid w:val="001D19F4"/>
    <w:rsid w:val="001D1EDA"/>
    <w:rsid w:val="001D2C8E"/>
    <w:rsid w:val="001D6602"/>
    <w:rsid w:val="001D68CD"/>
    <w:rsid w:val="001D74E7"/>
    <w:rsid w:val="001E198A"/>
    <w:rsid w:val="001E3A3C"/>
    <w:rsid w:val="001E5CF5"/>
    <w:rsid w:val="001F103D"/>
    <w:rsid w:val="001F28C8"/>
    <w:rsid w:val="001F5C4D"/>
    <w:rsid w:val="00200460"/>
    <w:rsid w:val="002010AE"/>
    <w:rsid w:val="00204607"/>
    <w:rsid w:val="00204DBF"/>
    <w:rsid w:val="00206CF6"/>
    <w:rsid w:val="0020762D"/>
    <w:rsid w:val="00207B67"/>
    <w:rsid w:val="00210389"/>
    <w:rsid w:val="0021048B"/>
    <w:rsid w:val="00210ADB"/>
    <w:rsid w:val="00211004"/>
    <w:rsid w:val="00211C29"/>
    <w:rsid w:val="00211E1B"/>
    <w:rsid w:val="002121BD"/>
    <w:rsid w:val="00212D3E"/>
    <w:rsid w:val="00215137"/>
    <w:rsid w:val="0021737A"/>
    <w:rsid w:val="002226AD"/>
    <w:rsid w:val="00223915"/>
    <w:rsid w:val="0022682C"/>
    <w:rsid w:val="00227B97"/>
    <w:rsid w:val="00230495"/>
    <w:rsid w:val="00231C0E"/>
    <w:rsid w:val="00234269"/>
    <w:rsid w:val="00235901"/>
    <w:rsid w:val="00236947"/>
    <w:rsid w:val="0024038F"/>
    <w:rsid w:val="002409A5"/>
    <w:rsid w:val="00244385"/>
    <w:rsid w:val="00244DB9"/>
    <w:rsid w:val="00245150"/>
    <w:rsid w:val="00246B8F"/>
    <w:rsid w:val="00247FBF"/>
    <w:rsid w:val="00250FAB"/>
    <w:rsid w:val="00251138"/>
    <w:rsid w:val="00251560"/>
    <w:rsid w:val="002523CC"/>
    <w:rsid w:val="00252D36"/>
    <w:rsid w:val="00254FB7"/>
    <w:rsid w:val="00255100"/>
    <w:rsid w:val="0025607F"/>
    <w:rsid w:val="00256520"/>
    <w:rsid w:val="002574C6"/>
    <w:rsid w:val="00260A86"/>
    <w:rsid w:val="0026134F"/>
    <w:rsid w:val="002616B4"/>
    <w:rsid w:val="0026227D"/>
    <w:rsid w:val="00262FDA"/>
    <w:rsid w:val="00266053"/>
    <w:rsid w:val="00267CBA"/>
    <w:rsid w:val="00270028"/>
    <w:rsid w:val="00272CCD"/>
    <w:rsid w:val="0027462A"/>
    <w:rsid w:val="00276475"/>
    <w:rsid w:val="00280F14"/>
    <w:rsid w:val="0028144B"/>
    <w:rsid w:val="00287F77"/>
    <w:rsid w:val="002901C4"/>
    <w:rsid w:val="0029494A"/>
    <w:rsid w:val="00295CF5"/>
    <w:rsid w:val="002A15A5"/>
    <w:rsid w:val="002B1A2A"/>
    <w:rsid w:val="002B25D9"/>
    <w:rsid w:val="002B506B"/>
    <w:rsid w:val="002B6E1F"/>
    <w:rsid w:val="002B78A0"/>
    <w:rsid w:val="002C03EB"/>
    <w:rsid w:val="002C2414"/>
    <w:rsid w:val="002C338F"/>
    <w:rsid w:val="002D056F"/>
    <w:rsid w:val="002D0F5F"/>
    <w:rsid w:val="002D47EA"/>
    <w:rsid w:val="002E0983"/>
    <w:rsid w:val="002E1ED0"/>
    <w:rsid w:val="002E2204"/>
    <w:rsid w:val="002E33BA"/>
    <w:rsid w:val="002E3AA9"/>
    <w:rsid w:val="002E4623"/>
    <w:rsid w:val="002E4C98"/>
    <w:rsid w:val="002E4F38"/>
    <w:rsid w:val="002E6C6E"/>
    <w:rsid w:val="002F0D7C"/>
    <w:rsid w:val="002F0FF2"/>
    <w:rsid w:val="002F13BF"/>
    <w:rsid w:val="002F2F81"/>
    <w:rsid w:val="002F449A"/>
    <w:rsid w:val="003003BD"/>
    <w:rsid w:val="003014C5"/>
    <w:rsid w:val="00301523"/>
    <w:rsid w:val="00302740"/>
    <w:rsid w:val="003050D9"/>
    <w:rsid w:val="00305735"/>
    <w:rsid w:val="00307455"/>
    <w:rsid w:val="00307906"/>
    <w:rsid w:val="00310D3F"/>
    <w:rsid w:val="00311362"/>
    <w:rsid w:val="00311CE7"/>
    <w:rsid w:val="003132E5"/>
    <w:rsid w:val="0031511C"/>
    <w:rsid w:val="00316767"/>
    <w:rsid w:val="0031721E"/>
    <w:rsid w:val="00322C82"/>
    <w:rsid w:val="0032397A"/>
    <w:rsid w:val="00323A6A"/>
    <w:rsid w:val="00325B00"/>
    <w:rsid w:val="00325F47"/>
    <w:rsid w:val="00326086"/>
    <w:rsid w:val="00326598"/>
    <w:rsid w:val="0032781D"/>
    <w:rsid w:val="00330023"/>
    <w:rsid w:val="00330CCA"/>
    <w:rsid w:val="00331B0A"/>
    <w:rsid w:val="00333968"/>
    <w:rsid w:val="003351F6"/>
    <w:rsid w:val="00335A5E"/>
    <w:rsid w:val="00335FD5"/>
    <w:rsid w:val="003365EE"/>
    <w:rsid w:val="00336F41"/>
    <w:rsid w:val="003400AD"/>
    <w:rsid w:val="00343201"/>
    <w:rsid w:val="00343341"/>
    <w:rsid w:val="003437A7"/>
    <w:rsid w:val="00343980"/>
    <w:rsid w:val="00343B71"/>
    <w:rsid w:val="00343D18"/>
    <w:rsid w:val="003446F7"/>
    <w:rsid w:val="003452F9"/>
    <w:rsid w:val="00345F29"/>
    <w:rsid w:val="0034796B"/>
    <w:rsid w:val="0035026F"/>
    <w:rsid w:val="003529D6"/>
    <w:rsid w:val="003534F1"/>
    <w:rsid w:val="00353786"/>
    <w:rsid w:val="00353B3F"/>
    <w:rsid w:val="0035408F"/>
    <w:rsid w:val="00355030"/>
    <w:rsid w:val="00355698"/>
    <w:rsid w:val="00355F1A"/>
    <w:rsid w:val="00357180"/>
    <w:rsid w:val="0035777E"/>
    <w:rsid w:val="00360E91"/>
    <w:rsid w:val="0036224B"/>
    <w:rsid w:val="00364279"/>
    <w:rsid w:val="003652CB"/>
    <w:rsid w:val="00366230"/>
    <w:rsid w:val="00366FF4"/>
    <w:rsid w:val="0037229F"/>
    <w:rsid w:val="003739DF"/>
    <w:rsid w:val="0037429E"/>
    <w:rsid w:val="00374EDB"/>
    <w:rsid w:val="00376722"/>
    <w:rsid w:val="00383FC2"/>
    <w:rsid w:val="003851AE"/>
    <w:rsid w:val="0038609F"/>
    <w:rsid w:val="00386E79"/>
    <w:rsid w:val="00387A2B"/>
    <w:rsid w:val="00390065"/>
    <w:rsid w:val="00390B68"/>
    <w:rsid w:val="00392AA2"/>
    <w:rsid w:val="0039367B"/>
    <w:rsid w:val="00394CF7"/>
    <w:rsid w:val="00394E24"/>
    <w:rsid w:val="00395B7F"/>
    <w:rsid w:val="00396DF6"/>
    <w:rsid w:val="003A0A75"/>
    <w:rsid w:val="003A30F2"/>
    <w:rsid w:val="003A48AC"/>
    <w:rsid w:val="003A568E"/>
    <w:rsid w:val="003A5BDF"/>
    <w:rsid w:val="003A5D86"/>
    <w:rsid w:val="003A6BA5"/>
    <w:rsid w:val="003B04EF"/>
    <w:rsid w:val="003B0A6F"/>
    <w:rsid w:val="003B0E56"/>
    <w:rsid w:val="003B22B9"/>
    <w:rsid w:val="003C2E69"/>
    <w:rsid w:val="003C3AC0"/>
    <w:rsid w:val="003D3BFB"/>
    <w:rsid w:val="003D43AF"/>
    <w:rsid w:val="003E0748"/>
    <w:rsid w:val="003E4D2C"/>
    <w:rsid w:val="003E759A"/>
    <w:rsid w:val="003F119F"/>
    <w:rsid w:val="003F6654"/>
    <w:rsid w:val="00400E6B"/>
    <w:rsid w:val="0040104E"/>
    <w:rsid w:val="00401C6D"/>
    <w:rsid w:val="004030A9"/>
    <w:rsid w:val="00406690"/>
    <w:rsid w:val="00410E78"/>
    <w:rsid w:val="00411470"/>
    <w:rsid w:val="00416E9B"/>
    <w:rsid w:val="004175B5"/>
    <w:rsid w:val="004216A6"/>
    <w:rsid w:val="00422681"/>
    <w:rsid w:val="004246BE"/>
    <w:rsid w:val="00426CE7"/>
    <w:rsid w:val="00427B1E"/>
    <w:rsid w:val="00431C8D"/>
    <w:rsid w:val="00432C99"/>
    <w:rsid w:val="004341B5"/>
    <w:rsid w:val="00434B15"/>
    <w:rsid w:val="00437BDE"/>
    <w:rsid w:val="004407D0"/>
    <w:rsid w:val="004415FC"/>
    <w:rsid w:val="00451A17"/>
    <w:rsid w:val="00451BE6"/>
    <w:rsid w:val="004528C7"/>
    <w:rsid w:val="004529BE"/>
    <w:rsid w:val="00454715"/>
    <w:rsid w:val="00454B7D"/>
    <w:rsid w:val="00455792"/>
    <w:rsid w:val="004562B6"/>
    <w:rsid w:val="00462F64"/>
    <w:rsid w:val="004646B3"/>
    <w:rsid w:val="00465AFB"/>
    <w:rsid w:val="00470196"/>
    <w:rsid w:val="0047140D"/>
    <w:rsid w:val="004726F6"/>
    <w:rsid w:val="004732D4"/>
    <w:rsid w:val="00473AC7"/>
    <w:rsid w:val="0047568E"/>
    <w:rsid w:val="00476ACC"/>
    <w:rsid w:val="00477734"/>
    <w:rsid w:val="004814F7"/>
    <w:rsid w:val="0048526C"/>
    <w:rsid w:val="00487D47"/>
    <w:rsid w:val="004903E1"/>
    <w:rsid w:val="00491557"/>
    <w:rsid w:val="004938F3"/>
    <w:rsid w:val="00493E66"/>
    <w:rsid w:val="004952D3"/>
    <w:rsid w:val="00497115"/>
    <w:rsid w:val="004976E7"/>
    <w:rsid w:val="0049790C"/>
    <w:rsid w:val="004A305E"/>
    <w:rsid w:val="004A3383"/>
    <w:rsid w:val="004B1186"/>
    <w:rsid w:val="004B3015"/>
    <w:rsid w:val="004B3E07"/>
    <w:rsid w:val="004B7009"/>
    <w:rsid w:val="004C3726"/>
    <w:rsid w:val="004C5435"/>
    <w:rsid w:val="004C5603"/>
    <w:rsid w:val="004C73AE"/>
    <w:rsid w:val="004C7772"/>
    <w:rsid w:val="004D1E12"/>
    <w:rsid w:val="004D2CF5"/>
    <w:rsid w:val="004D335E"/>
    <w:rsid w:val="004D4DE2"/>
    <w:rsid w:val="004D4F5A"/>
    <w:rsid w:val="004D5800"/>
    <w:rsid w:val="004D597D"/>
    <w:rsid w:val="004D78D5"/>
    <w:rsid w:val="004E0605"/>
    <w:rsid w:val="004E08D6"/>
    <w:rsid w:val="004E6CD3"/>
    <w:rsid w:val="004E77E2"/>
    <w:rsid w:val="004E7E32"/>
    <w:rsid w:val="004F2B79"/>
    <w:rsid w:val="004F47B3"/>
    <w:rsid w:val="004F48FC"/>
    <w:rsid w:val="004F4A38"/>
    <w:rsid w:val="004F6980"/>
    <w:rsid w:val="00501350"/>
    <w:rsid w:val="00503CB1"/>
    <w:rsid w:val="00504EF7"/>
    <w:rsid w:val="00505E87"/>
    <w:rsid w:val="005067B2"/>
    <w:rsid w:val="00506EFB"/>
    <w:rsid w:val="00512666"/>
    <w:rsid w:val="0051269F"/>
    <w:rsid w:val="00512C29"/>
    <w:rsid w:val="00513479"/>
    <w:rsid w:val="0051529A"/>
    <w:rsid w:val="00515ABF"/>
    <w:rsid w:val="0052125D"/>
    <w:rsid w:val="00522FE7"/>
    <w:rsid w:val="00523C60"/>
    <w:rsid w:val="0052529E"/>
    <w:rsid w:val="005252C9"/>
    <w:rsid w:val="005262FA"/>
    <w:rsid w:val="00527C27"/>
    <w:rsid w:val="005312AD"/>
    <w:rsid w:val="00531FD0"/>
    <w:rsid w:val="00532F9A"/>
    <w:rsid w:val="00534A49"/>
    <w:rsid w:val="00535AEB"/>
    <w:rsid w:val="005372D1"/>
    <w:rsid w:val="00537961"/>
    <w:rsid w:val="005411A7"/>
    <w:rsid w:val="00541CAD"/>
    <w:rsid w:val="00544596"/>
    <w:rsid w:val="00544800"/>
    <w:rsid w:val="00547473"/>
    <w:rsid w:val="00550146"/>
    <w:rsid w:val="005512AC"/>
    <w:rsid w:val="00551862"/>
    <w:rsid w:val="0055235F"/>
    <w:rsid w:val="00554C73"/>
    <w:rsid w:val="00556DBA"/>
    <w:rsid w:val="005625AE"/>
    <w:rsid w:val="00566C73"/>
    <w:rsid w:val="00567877"/>
    <w:rsid w:val="0057220D"/>
    <w:rsid w:val="00573FAD"/>
    <w:rsid w:val="005741E3"/>
    <w:rsid w:val="00575B59"/>
    <w:rsid w:val="00575BAC"/>
    <w:rsid w:val="00576025"/>
    <w:rsid w:val="00577A59"/>
    <w:rsid w:val="005800B1"/>
    <w:rsid w:val="005807E8"/>
    <w:rsid w:val="0058345C"/>
    <w:rsid w:val="00583FC8"/>
    <w:rsid w:val="005856B8"/>
    <w:rsid w:val="00594260"/>
    <w:rsid w:val="00594674"/>
    <w:rsid w:val="00596365"/>
    <w:rsid w:val="00597163"/>
    <w:rsid w:val="005977CD"/>
    <w:rsid w:val="005A02D5"/>
    <w:rsid w:val="005A07A5"/>
    <w:rsid w:val="005A09E4"/>
    <w:rsid w:val="005A2F14"/>
    <w:rsid w:val="005B0DDE"/>
    <w:rsid w:val="005B3E82"/>
    <w:rsid w:val="005B480A"/>
    <w:rsid w:val="005B48A5"/>
    <w:rsid w:val="005B6091"/>
    <w:rsid w:val="005B6AF7"/>
    <w:rsid w:val="005B6E54"/>
    <w:rsid w:val="005C234F"/>
    <w:rsid w:val="005C4807"/>
    <w:rsid w:val="005C4CC8"/>
    <w:rsid w:val="005C7E3B"/>
    <w:rsid w:val="005D1193"/>
    <w:rsid w:val="005D4845"/>
    <w:rsid w:val="005D489C"/>
    <w:rsid w:val="005D540F"/>
    <w:rsid w:val="005D5D82"/>
    <w:rsid w:val="005D69C2"/>
    <w:rsid w:val="005D6A7D"/>
    <w:rsid w:val="005D6B27"/>
    <w:rsid w:val="005E137B"/>
    <w:rsid w:val="005E1B55"/>
    <w:rsid w:val="005E41AC"/>
    <w:rsid w:val="005E464A"/>
    <w:rsid w:val="005E5C21"/>
    <w:rsid w:val="005E6D06"/>
    <w:rsid w:val="005E6F80"/>
    <w:rsid w:val="005F1449"/>
    <w:rsid w:val="005F45C2"/>
    <w:rsid w:val="005F7B92"/>
    <w:rsid w:val="00600F13"/>
    <w:rsid w:val="00601609"/>
    <w:rsid w:val="006018D9"/>
    <w:rsid w:val="006041CC"/>
    <w:rsid w:val="00604411"/>
    <w:rsid w:val="00606E7F"/>
    <w:rsid w:val="00607F8E"/>
    <w:rsid w:val="00610A4E"/>
    <w:rsid w:val="00611695"/>
    <w:rsid w:val="00612817"/>
    <w:rsid w:val="00612C9F"/>
    <w:rsid w:val="00612E7E"/>
    <w:rsid w:val="00613582"/>
    <w:rsid w:val="00614B6E"/>
    <w:rsid w:val="00614C23"/>
    <w:rsid w:val="00615434"/>
    <w:rsid w:val="00615B90"/>
    <w:rsid w:val="00617223"/>
    <w:rsid w:val="006205E1"/>
    <w:rsid w:val="006219BC"/>
    <w:rsid w:val="00623B7B"/>
    <w:rsid w:val="00625266"/>
    <w:rsid w:val="0062564A"/>
    <w:rsid w:val="00625A55"/>
    <w:rsid w:val="00625AA6"/>
    <w:rsid w:val="0063067C"/>
    <w:rsid w:val="00630B39"/>
    <w:rsid w:val="006311A6"/>
    <w:rsid w:val="00632F59"/>
    <w:rsid w:val="006339D6"/>
    <w:rsid w:val="00633C80"/>
    <w:rsid w:val="00634ED4"/>
    <w:rsid w:val="00636D7D"/>
    <w:rsid w:val="006407FC"/>
    <w:rsid w:val="00643F0B"/>
    <w:rsid w:val="0065061C"/>
    <w:rsid w:val="00650E7F"/>
    <w:rsid w:val="00653066"/>
    <w:rsid w:val="00653210"/>
    <w:rsid w:val="0065400A"/>
    <w:rsid w:val="0065426D"/>
    <w:rsid w:val="006551F5"/>
    <w:rsid w:val="00655CA0"/>
    <w:rsid w:val="00657547"/>
    <w:rsid w:val="006575F9"/>
    <w:rsid w:val="006604FB"/>
    <w:rsid w:val="00664CCE"/>
    <w:rsid w:val="00666919"/>
    <w:rsid w:val="00667141"/>
    <w:rsid w:val="00667F5F"/>
    <w:rsid w:val="006733AE"/>
    <w:rsid w:val="0067351F"/>
    <w:rsid w:val="006744C5"/>
    <w:rsid w:val="00674F14"/>
    <w:rsid w:val="006760A2"/>
    <w:rsid w:val="006768C9"/>
    <w:rsid w:val="006769E5"/>
    <w:rsid w:val="00682286"/>
    <w:rsid w:val="006833DF"/>
    <w:rsid w:val="00684C2B"/>
    <w:rsid w:val="00685771"/>
    <w:rsid w:val="00687699"/>
    <w:rsid w:val="00690515"/>
    <w:rsid w:val="006906C6"/>
    <w:rsid w:val="00690782"/>
    <w:rsid w:val="00691ABE"/>
    <w:rsid w:val="00694503"/>
    <w:rsid w:val="0069465F"/>
    <w:rsid w:val="0069754D"/>
    <w:rsid w:val="006A00A0"/>
    <w:rsid w:val="006A029B"/>
    <w:rsid w:val="006A1CFA"/>
    <w:rsid w:val="006A5AFF"/>
    <w:rsid w:val="006A634E"/>
    <w:rsid w:val="006A760C"/>
    <w:rsid w:val="006A7853"/>
    <w:rsid w:val="006B1541"/>
    <w:rsid w:val="006B3772"/>
    <w:rsid w:val="006B6EAE"/>
    <w:rsid w:val="006B742A"/>
    <w:rsid w:val="006C0404"/>
    <w:rsid w:val="006C2040"/>
    <w:rsid w:val="006C4689"/>
    <w:rsid w:val="006C5530"/>
    <w:rsid w:val="006C6BA9"/>
    <w:rsid w:val="006C6C94"/>
    <w:rsid w:val="006D082F"/>
    <w:rsid w:val="006D0B7E"/>
    <w:rsid w:val="006D18FD"/>
    <w:rsid w:val="006D2078"/>
    <w:rsid w:val="006D219A"/>
    <w:rsid w:val="006D2B44"/>
    <w:rsid w:val="006D43EE"/>
    <w:rsid w:val="006D5E70"/>
    <w:rsid w:val="006D692E"/>
    <w:rsid w:val="006E06C3"/>
    <w:rsid w:val="006E0B02"/>
    <w:rsid w:val="006E0D12"/>
    <w:rsid w:val="006E0D80"/>
    <w:rsid w:val="006E1010"/>
    <w:rsid w:val="006E1BC8"/>
    <w:rsid w:val="006E2459"/>
    <w:rsid w:val="006E2F6B"/>
    <w:rsid w:val="006E3EDC"/>
    <w:rsid w:val="006E45D8"/>
    <w:rsid w:val="006E5B70"/>
    <w:rsid w:val="006F285B"/>
    <w:rsid w:val="006F302A"/>
    <w:rsid w:val="006F302E"/>
    <w:rsid w:val="006F4A1A"/>
    <w:rsid w:val="006F50F9"/>
    <w:rsid w:val="006F5263"/>
    <w:rsid w:val="0070007D"/>
    <w:rsid w:val="00703F13"/>
    <w:rsid w:val="00706442"/>
    <w:rsid w:val="00712185"/>
    <w:rsid w:val="0071345A"/>
    <w:rsid w:val="007144F3"/>
    <w:rsid w:val="00714A4A"/>
    <w:rsid w:val="007158DA"/>
    <w:rsid w:val="00716BE5"/>
    <w:rsid w:val="00717883"/>
    <w:rsid w:val="00717E68"/>
    <w:rsid w:val="00722780"/>
    <w:rsid w:val="007255ED"/>
    <w:rsid w:val="0072629E"/>
    <w:rsid w:val="00726853"/>
    <w:rsid w:val="00727BEF"/>
    <w:rsid w:val="00727E8E"/>
    <w:rsid w:val="00727FE3"/>
    <w:rsid w:val="00730853"/>
    <w:rsid w:val="007310C4"/>
    <w:rsid w:val="0073409C"/>
    <w:rsid w:val="00737269"/>
    <w:rsid w:val="007410E3"/>
    <w:rsid w:val="007417E6"/>
    <w:rsid w:val="007426A4"/>
    <w:rsid w:val="00742DCF"/>
    <w:rsid w:val="00744BD0"/>
    <w:rsid w:val="0074544D"/>
    <w:rsid w:val="0074598A"/>
    <w:rsid w:val="00745F61"/>
    <w:rsid w:val="00746347"/>
    <w:rsid w:val="00750F69"/>
    <w:rsid w:val="00752828"/>
    <w:rsid w:val="00752B99"/>
    <w:rsid w:val="00753F66"/>
    <w:rsid w:val="007540F6"/>
    <w:rsid w:val="00754D8F"/>
    <w:rsid w:val="0075570A"/>
    <w:rsid w:val="00761CDF"/>
    <w:rsid w:val="00764DB0"/>
    <w:rsid w:val="00773396"/>
    <w:rsid w:val="007738A3"/>
    <w:rsid w:val="00773DDC"/>
    <w:rsid w:val="00773F63"/>
    <w:rsid w:val="0077517D"/>
    <w:rsid w:val="00775326"/>
    <w:rsid w:val="00780FDF"/>
    <w:rsid w:val="00781827"/>
    <w:rsid w:val="00785FD2"/>
    <w:rsid w:val="007865D4"/>
    <w:rsid w:val="00786DC1"/>
    <w:rsid w:val="00787250"/>
    <w:rsid w:val="007872AB"/>
    <w:rsid w:val="007919C5"/>
    <w:rsid w:val="0079273B"/>
    <w:rsid w:val="0079331C"/>
    <w:rsid w:val="00794021"/>
    <w:rsid w:val="00795A5F"/>
    <w:rsid w:val="007960F1"/>
    <w:rsid w:val="00796791"/>
    <w:rsid w:val="007968BB"/>
    <w:rsid w:val="00797738"/>
    <w:rsid w:val="007A1781"/>
    <w:rsid w:val="007A4140"/>
    <w:rsid w:val="007A4368"/>
    <w:rsid w:val="007A72CE"/>
    <w:rsid w:val="007B15D7"/>
    <w:rsid w:val="007B5C46"/>
    <w:rsid w:val="007B63CD"/>
    <w:rsid w:val="007C1129"/>
    <w:rsid w:val="007C3CB3"/>
    <w:rsid w:val="007C5C16"/>
    <w:rsid w:val="007C6B93"/>
    <w:rsid w:val="007D0073"/>
    <w:rsid w:val="007D02BF"/>
    <w:rsid w:val="007D0A22"/>
    <w:rsid w:val="007D15D1"/>
    <w:rsid w:val="007D4D7C"/>
    <w:rsid w:val="007D7986"/>
    <w:rsid w:val="007E15D0"/>
    <w:rsid w:val="007E2118"/>
    <w:rsid w:val="007E2347"/>
    <w:rsid w:val="007E2777"/>
    <w:rsid w:val="007E2A37"/>
    <w:rsid w:val="007E2FC5"/>
    <w:rsid w:val="007E322A"/>
    <w:rsid w:val="007E3F4E"/>
    <w:rsid w:val="007E70E4"/>
    <w:rsid w:val="007F12CF"/>
    <w:rsid w:val="007F15D9"/>
    <w:rsid w:val="007F30EB"/>
    <w:rsid w:val="007F3E66"/>
    <w:rsid w:val="007F65DA"/>
    <w:rsid w:val="007F725C"/>
    <w:rsid w:val="008000CD"/>
    <w:rsid w:val="00800291"/>
    <w:rsid w:val="00801DC0"/>
    <w:rsid w:val="00803EE9"/>
    <w:rsid w:val="0080421B"/>
    <w:rsid w:val="00805FE4"/>
    <w:rsid w:val="00806200"/>
    <w:rsid w:val="00807E97"/>
    <w:rsid w:val="00810D17"/>
    <w:rsid w:val="008117CE"/>
    <w:rsid w:val="00811D1A"/>
    <w:rsid w:val="00811F84"/>
    <w:rsid w:val="008137BD"/>
    <w:rsid w:val="00813E79"/>
    <w:rsid w:val="00815106"/>
    <w:rsid w:val="008217E6"/>
    <w:rsid w:val="00821FB2"/>
    <w:rsid w:val="00830113"/>
    <w:rsid w:val="008306CF"/>
    <w:rsid w:val="00831943"/>
    <w:rsid w:val="008349C4"/>
    <w:rsid w:val="008367B2"/>
    <w:rsid w:val="00840C0D"/>
    <w:rsid w:val="008411F4"/>
    <w:rsid w:val="008412EB"/>
    <w:rsid w:val="00841983"/>
    <w:rsid w:val="00842907"/>
    <w:rsid w:val="00842E53"/>
    <w:rsid w:val="00852E83"/>
    <w:rsid w:val="0085310E"/>
    <w:rsid w:val="008558B8"/>
    <w:rsid w:val="00855CB4"/>
    <w:rsid w:val="00856327"/>
    <w:rsid w:val="0086242F"/>
    <w:rsid w:val="00862B91"/>
    <w:rsid w:val="00863252"/>
    <w:rsid w:val="00863CE1"/>
    <w:rsid w:val="00864E89"/>
    <w:rsid w:val="008651E8"/>
    <w:rsid w:val="008737AE"/>
    <w:rsid w:val="00873B6D"/>
    <w:rsid w:val="00877397"/>
    <w:rsid w:val="00880A75"/>
    <w:rsid w:val="00885FBF"/>
    <w:rsid w:val="008902C3"/>
    <w:rsid w:val="008907C0"/>
    <w:rsid w:val="00893589"/>
    <w:rsid w:val="0089410A"/>
    <w:rsid w:val="00894852"/>
    <w:rsid w:val="00895B8E"/>
    <w:rsid w:val="008A0174"/>
    <w:rsid w:val="008A175D"/>
    <w:rsid w:val="008A1BF9"/>
    <w:rsid w:val="008A2423"/>
    <w:rsid w:val="008A3555"/>
    <w:rsid w:val="008A3795"/>
    <w:rsid w:val="008A3923"/>
    <w:rsid w:val="008A58F8"/>
    <w:rsid w:val="008A62E5"/>
    <w:rsid w:val="008A7786"/>
    <w:rsid w:val="008B0DC8"/>
    <w:rsid w:val="008B1BB2"/>
    <w:rsid w:val="008B22E7"/>
    <w:rsid w:val="008B3EC0"/>
    <w:rsid w:val="008B57D8"/>
    <w:rsid w:val="008B584A"/>
    <w:rsid w:val="008B7B99"/>
    <w:rsid w:val="008C336F"/>
    <w:rsid w:val="008C6594"/>
    <w:rsid w:val="008D0EE2"/>
    <w:rsid w:val="008D3B39"/>
    <w:rsid w:val="008D4082"/>
    <w:rsid w:val="008D4D29"/>
    <w:rsid w:val="008D6F9A"/>
    <w:rsid w:val="008D74E3"/>
    <w:rsid w:val="008E4CA4"/>
    <w:rsid w:val="008E79F6"/>
    <w:rsid w:val="008F05EA"/>
    <w:rsid w:val="008F41F8"/>
    <w:rsid w:val="008F4A4A"/>
    <w:rsid w:val="008F5382"/>
    <w:rsid w:val="008F6255"/>
    <w:rsid w:val="008F788F"/>
    <w:rsid w:val="00900BB3"/>
    <w:rsid w:val="00902302"/>
    <w:rsid w:val="00902EAD"/>
    <w:rsid w:val="0090653B"/>
    <w:rsid w:val="00906E6A"/>
    <w:rsid w:val="00910C92"/>
    <w:rsid w:val="009141E9"/>
    <w:rsid w:val="00914729"/>
    <w:rsid w:val="009155DB"/>
    <w:rsid w:val="009157C4"/>
    <w:rsid w:val="00915E4B"/>
    <w:rsid w:val="00917A74"/>
    <w:rsid w:val="00924389"/>
    <w:rsid w:val="00925833"/>
    <w:rsid w:val="00927CF6"/>
    <w:rsid w:val="00930588"/>
    <w:rsid w:val="00930EB5"/>
    <w:rsid w:val="00931064"/>
    <w:rsid w:val="00936F75"/>
    <w:rsid w:val="009374E9"/>
    <w:rsid w:val="00941A7E"/>
    <w:rsid w:val="00941CA4"/>
    <w:rsid w:val="0094487F"/>
    <w:rsid w:val="00944DCD"/>
    <w:rsid w:val="00945FFF"/>
    <w:rsid w:val="00950F5C"/>
    <w:rsid w:val="00951E03"/>
    <w:rsid w:val="00952A87"/>
    <w:rsid w:val="0095334F"/>
    <w:rsid w:val="00954379"/>
    <w:rsid w:val="009550AD"/>
    <w:rsid w:val="00957744"/>
    <w:rsid w:val="00957850"/>
    <w:rsid w:val="00960C98"/>
    <w:rsid w:val="00962153"/>
    <w:rsid w:val="0096656F"/>
    <w:rsid w:val="00966CB3"/>
    <w:rsid w:val="0097504D"/>
    <w:rsid w:val="00975186"/>
    <w:rsid w:val="009777E3"/>
    <w:rsid w:val="00980208"/>
    <w:rsid w:val="00980B85"/>
    <w:rsid w:val="00980EC6"/>
    <w:rsid w:val="00981BC2"/>
    <w:rsid w:val="0098310F"/>
    <w:rsid w:val="009854EF"/>
    <w:rsid w:val="00986848"/>
    <w:rsid w:val="009872FD"/>
    <w:rsid w:val="00987959"/>
    <w:rsid w:val="00990843"/>
    <w:rsid w:val="009909EF"/>
    <w:rsid w:val="0099176E"/>
    <w:rsid w:val="009929D5"/>
    <w:rsid w:val="00992C13"/>
    <w:rsid w:val="00992D84"/>
    <w:rsid w:val="00995F51"/>
    <w:rsid w:val="009974CF"/>
    <w:rsid w:val="009A3CD3"/>
    <w:rsid w:val="009A505E"/>
    <w:rsid w:val="009B0972"/>
    <w:rsid w:val="009B2A53"/>
    <w:rsid w:val="009B3AD4"/>
    <w:rsid w:val="009B43DD"/>
    <w:rsid w:val="009B5C48"/>
    <w:rsid w:val="009B64C6"/>
    <w:rsid w:val="009C0F93"/>
    <w:rsid w:val="009C1405"/>
    <w:rsid w:val="009C3606"/>
    <w:rsid w:val="009C6ED8"/>
    <w:rsid w:val="009D1085"/>
    <w:rsid w:val="009D350A"/>
    <w:rsid w:val="009D4F26"/>
    <w:rsid w:val="009D6529"/>
    <w:rsid w:val="009E39C4"/>
    <w:rsid w:val="009E49DE"/>
    <w:rsid w:val="009F0104"/>
    <w:rsid w:val="009F0B50"/>
    <w:rsid w:val="009F1E8D"/>
    <w:rsid w:val="009F2035"/>
    <w:rsid w:val="00A01178"/>
    <w:rsid w:val="00A01225"/>
    <w:rsid w:val="00A02516"/>
    <w:rsid w:val="00A03383"/>
    <w:rsid w:val="00A04EF9"/>
    <w:rsid w:val="00A12E85"/>
    <w:rsid w:val="00A13378"/>
    <w:rsid w:val="00A14E24"/>
    <w:rsid w:val="00A15AD0"/>
    <w:rsid w:val="00A15C56"/>
    <w:rsid w:val="00A15C95"/>
    <w:rsid w:val="00A21D78"/>
    <w:rsid w:val="00A221CD"/>
    <w:rsid w:val="00A22840"/>
    <w:rsid w:val="00A23772"/>
    <w:rsid w:val="00A255C5"/>
    <w:rsid w:val="00A263D2"/>
    <w:rsid w:val="00A3387A"/>
    <w:rsid w:val="00A358A9"/>
    <w:rsid w:val="00A36537"/>
    <w:rsid w:val="00A3773E"/>
    <w:rsid w:val="00A40202"/>
    <w:rsid w:val="00A4578D"/>
    <w:rsid w:val="00A46178"/>
    <w:rsid w:val="00A4735B"/>
    <w:rsid w:val="00A474B3"/>
    <w:rsid w:val="00A47E32"/>
    <w:rsid w:val="00A50B8D"/>
    <w:rsid w:val="00A51145"/>
    <w:rsid w:val="00A5327F"/>
    <w:rsid w:val="00A55060"/>
    <w:rsid w:val="00A56344"/>
    <w:rsid w:val="00A56406"/>
    <w:rsid w:val="00A6155E"/>
    <w:rsid w:val="00A6339B"/>
    <w:rsid w:val="00A63E47"/>
    <w:rsid w:val="00A67B21"/>
    <w:rsid w:val="00A70CAF"/>
    <w:rsid w:val="00A710A9"/>
    <w:rsid w:val="00A72242"/>
    <w:rsid w:val="00A7227E"/>
    <w:rsid w:val="00A725DD"/>
    <w:rsid w:val="00A738F0"/>
    <w:rsid w:val="00A76CD5"/>
    <w:rsid w:val="00A808C8"/>
    <w:rsid w:val="00A809D2"/>
    <w:rsid w:val="00A8352A"/>
    <w:rsid w:val="00A84853"/>
    <w:rsid w:val="00A85264"/>
    <w:rsid w:val="00A8759D"/>
    <w:rsid w:val="00A911F8"/>
    <w:rsid w:val="00A913C0"/>
    <w:rsid w:val="00A93C40"/>
    <w:rsid w:val="00A94151"/>
    <w:rsid w:val="00A94634"/>
    <w:rsid w:val="00A94985"/>
    <w:rsid w:val="00A96FBF"/>
    <w:rsid w:val="00AA366E"/>
    <w:rsid w:val="00AA3D01"/>
    <w:rsid w:val="00AA4899"/>
    <w:rsid w:val="00AB45AE"/>
    <w:rsid w:val="00AB5015"/>
    <w:rsid w:val="00AB59DC"/>
    <w:rsid w:val="00AB5A3F"/>
    <w:rsid w:val="00AC18E7"/>
    <w:rsid w:val="00AC1E89"/>
    <w:rsid w:val="00AC2F27"/>
    <w:rsid w:val="00AC3C89"/>
    <w:rsid w:val="00AC48A6"/>
    <w:rsid w:val="00AC5A9F"/>
    <w:rsid w:val="00AC6E0F"/>
    <w:rsid w:val="00AD0D91"/>
    <w:rsid w:val="00AD3B9C"/>
    <w:rsid w:val="00AD406C"/>
    <w:rsid w:val="00AE015A"/>
    <w:rsid w:val="00AE192C"/>
    <w:rsid w:val="00AE2154"/>
    <w:rsid w:val="00AE322C"/>
    <w:rsid w:val="00AE550F"/>
    <w:rsid w:val="00AE5685"/>
    <w:rsid w:val="00AF1974"/>
    <w:rsid w:val="00AF358E"/>
    <w:rsid w:val="00AF4187"/>
    <w:rsid w:val="00AF4CF4"/>
    <w:rsid w:val="00AF554C"/>
    <w:rsid w:val="00AF60E8"/>
    <w:rsid w:val="00AF63B4"/>
    <w:rsid w:val="00AF733E"/>
    <w:rsid w:val="00B01A99"/>
    <w:rsid w:val="00B01F9F"/>
    <w:rsid w:val="00B0577A"/>
    <w:rsid w:val="00B06060"/>
    <w:rsid w:val="00B065E3"/>
    <w:rsid w:val="00B06853"/>
    <w:rsid w:val="00B078A1"/>
    <w:rsid w:val="00B10794"/>
    <w:rsid w:val="00B14F12"/>
    <w:rsid w:val="00B1730B"/>
    <w:rsid w:val="00B20F47"/>
    <w:rsid w:val="00B237A5"/>
    <w:rsid w:val="00B245BD"/>
    <w:rsid w:val="00B25954"/>
    <w:rsid w:val="00B27CFA"/>
    <w:rsid w:val="00B3094D"/>
    <w:rsid w:val="00B31D40"/>
    <w:rsid w:val="00B324C9"/>
    <w:rsid w:val="00B34C68"/>
    <w:rsid w:val="00B36712"/>
    <w:rsid w:val="00B3690B"/>
    <w:rsid w:val="00B36E09"/>
    <w:rsid w:val="00B40311"/>
    <w:rsid w:val="00B41A08"/>
    <w:rsid w:val="00B4271C"/>
    <w:rsid w:val="00B42F7B"/>
    <w:rsid w:val="00B44C9F"/>
    <w:rsid w:val="00B471A2"/>
    <w:rsid w:val="00B52940"/>
    <w:rsid w:val="00B52A4B"/>
    <w:rsid w:val="00B54032"/>
    <w:rsid w:val="00B553CC"/>
    <w:rsid w:val="00B603A8"/>
    <w:rsid w:val="00B616FC"/>
    <w:rsid w:val="00B644FD"/>
    <w:rsid w:val="00B73E93"/>
    <w:rsid w:val="00B741F1"/>
    <w:rsid w:val="00B77EB9"/>
    <w:rsid w:val="00B80465"/>
    <w:rsid w:val="00B817BB"/>
    <w:rsid w:val="00B8223A"/>
    <w:rsid w:val="00B83D49"/>
    <w:rsid w:val="00B87AD1"/>
    <w:rsid w:val="00B87F0B"/>
    <w:rsid w:val="00B908AF"/>
    <w:rsid w:val="00B919C7"/>
    <w:rsid w:val="00B92703"/>
    <w:rsid w:val="00B92CB3"/>
    <w:rsid w:val="00B93FEC"/>
    <w:rsid w:val="00B954A3"/>
    <w:rsid w:val="00B95D01"/>
    <w:rsid w:val="00B96467"/>
    <w:rsid w:val="00B97A5D"/>
    <w:rsid w:val="00BA0316"/>
    <w:rsid w:val="00BA1855"/>
    <w:rsid w:val="00BA342D"/>
    <w:rsid w:val="00BA5984"/>
    <w:rsid w:val="00BA6C5A"/>
    <w:rsid w:val="00BA729C"/>
    <w:rsid w:val="00BB00AA"/>
    <w:rsid w:val="00BB4F10"/>
    <w:rsid w:val="00BB5B6F"/>
    <w:rsid w:val="00BB6617"/>
    <w:rsid w:val="00BB68E6"/>
    <w:rsid w:val="00BC027B"/>
    <w:rsid w:val="00BC060A"/>
    <w:rsid w:val="00BC0889"/>
    <w:rsid w:val="00BC3773"/>
    <w:rsid w:val="00BC404B"/>
    <w:rsid w:val="00BC548D"/>
    <w:rsid w:val="00BD0AB6"/>
    <w:rsid w:val="00BD1E72"/>
    <w:rsid w:val="00BD2171"/>
    <w:rsid w:val="00BD29A3"/>
    <w:rsid w:val="00BD2C52"/>
    <w:rsid w:val="00BD2E45"/>
    <w:rsid w:val="00BD468D"/>
    <w:rsid w:val="00BD5124"/>
    <w:rsid w:val="00BD6F07"/>
    <w:rsid w:val="00BD7292"/>
    <w:rsid w:val="00BD7CD7"/>
    <w:rsid w:val="00BE0525"/>
    <w:rsid w:val="00BE3780"/>
    <w:rsid w:val="00BE3B7D"/>
    <w:rsid w:val="00BE3F88"/>
    <w:rsid w:val="00BE407E"/>
    <w:rsid w:val="00BE5329"/>
    <w:rsid w:val="00BE6FA3"/>
    <w:rsid w:val="00BF1B70"/>
    <w:rsid w:val="00BF21EA"/>
    <w:rsid w:val="00BF2379"/>
    <w:rsid w:val="00BF64AA"/>
    <w:rsid w:val="00BF70E5"/>
    <w:rsid w:val="00BF7332"/>
    <w:rsid w:val="00BF76E2"/>
    <w:rsid w:val="00C01A25"/>
    <w:rsid w:val="00C03B38"/>
    <w:rsid w:val="00C1154F"/>
    <w:rsid w:val="00C13793"/>
    <w:rsid w:val="00C160FD"/>
    <w:rsid w:val="00C209A8"/>
    <w:rsid w:val="00C2356B"/>
    <w:rsid w:val="00C27C6C"/>
    <w:rsid w:val="00C305F6"/>
    <w:rsid w:val="00C32E2F"/>
    <w:rsid w:val="00C3471B"/>
    <w:rsid w:val="00C37547"/>
    <w:rsid w:val="00C377AD"/>
    <w:rsid w:val="00C40ACD"/>
    <w:rsid w:val="00C4113A"/>
    <w:rsid w:val="00C4364B"/>
    <w:rsid w:val="00C4422F"/>
    <w:rsid w:val="00C45AAF"/>
    <w:rsid w:val="00C45C58"/>
    <w:rsid w:val="00C45F72"/>
    <w:rsid w:val="00C461BB"/>
    <w:rsid w:val="00C467D6"/>
    <w:rsid w:val="00C46D3C"/>
    <w:rsid w:val="00C4709E"/>
    <w:rsid w:val="00C50551"/>
    <w:rsid w:val="00C50FA3"/>
    <w:rsid w:val="00C520E4"/>
    <w:rsid w:val="00C561D3"/>
    <w:rsid w:val="00C568E4"/>
    <w:rsid w:val="00C60F00"/>
    <w:rsid w:val="00C70560"/>
    <w:rsid w:val="00C718AC"/>
    <w:rsid w:val="00C73ADE"/>
    <w:rsid w:val="00C7495C"/>
    <w:rsid w:val="00C7645C"/>
    <w:rsid w:val="00C776D0"/>
    <w:rsid w:val="00C77D5D"/>
    <w:rsid w:val="00C80B53"/>
    <w:rsid w:val="00C8218A"/>
    <w:rsid w:val="00C82F68"/>
    <w:rsid w:val="00C8323F"/>
    <w:rsid w:val="00C83B31"/>
    <w:rsid w:val="00C8760F"/>
    <w:rsid w:val="00C91022"/>
    <w:rsid w:val="00C91EB9"/>
    <w:rsid w:val="00C926D2"/>
    <w:rsid w:val="00C92F99"/>
    <w:rsid w:val="00C943D9"/>
    <w:rsid w:val="00C94F0B"/>
    <w:rsid w:val="00C97E73"/>
    <w:rsid w:val="00CA0F26"/>
    <w:rsid w:val="00CA17AC"/>
    <w:rsid w:val="00CA6642"/>
    <w:rsid w:val="00CA7768"/>
    <w:rsid w:val="00CA786C"/>
    <w:rsid w:val="00CB2DB5"/>
    <w:rsid w:val="00CB3636"/>
    <w:rsid w:val="00CB5C6E"/>
    <w:rsid w:val="00CB6119"/>
    <w:rsid w:val="00CB68F9"/>
    <w:rsid w:val="00CB6D09"/>
    <w:rsid w:val="00CB7326"/>
    <w:rsid w:val="00CB7789"/>
    <w:rsid w:val="00CC1682"/>
    <w:rsid w:val="00CC17D9"/>
    <w:rsid w:val="00CC1F02"/>
    <w:rsid w:val="00CC2B63"/>
    <w:rsid w:val="00CC3EDB"/>
    <w:rsid w:val="00CC5778"/>
    <w:rsid w:val="00CD042F"/>
    <w:rsid w:val="00CD2B05"/>
    <w:rsid w:val="00CD3303"/>
    <w:rsid w:val="00CD5839"/>
    <w:rsid w:val="00CE1D62"/>
    <w:rsid w:val="00CE207D"/>
    <w:rsid w:val="00CE21C6"/>
    <w:rsid w:val="00CE35F9"/>
    <w:rsid w:val="00CE6142"/>
    <w:rsid w:val="00CF2D52"/>
    <w:rsid w:val="00CF3599"/>
    <w:rsid w:val="00CF3A6F"/>
    <w:rsid w:val="00CF3C22"/>
    <w:rsid w:val="00CF3F7F"/>
    <w:rsid w:val="00CF421C"/>
    <w:rsid w:val="00D00E42"/>
    <w:rsid w:val="00D02BC7"/>
    <w:rsid w:val="00D20F82"/>
    <w:rsid w:val="00D25A94"/>
    <w:rsid w:val="00D26FE9"/>
    <w:rsid w:val="00D30151"/>
    <w:rsid w:val="00D315AA"/>
    <w:rsid w:val="00D317F0"/>
    <w:rsid w:val="00D31B6C"/>
    <w:rsid w:val="00D327EA"/>
    <w:rsid w:val="00D34644"/>
    <w:rsid w:val="00D3538E"/>
    <w:rsid w:val="00D3554A"/>
    <w:rsid w:val="00D36A56"/>
    <w:rsid w:val="00D426E5"/>
    <w:rsid w:val="00D42C82"/>
    <w:rsid w:val="00D466E1"/>
    <w:rsid w:val="00D468FE"/>
    <w:rsid w:val="00D46915"/>
    <w:rsid w:val="00D473F7"/>
    <w:rsid w:val="00D52E37"/>
    <w:rsid w:val="00D53458"/>
    <w:rsid w:val="00D53A51"/>
    <w:rsid w:val="00D53DC9"/>
    <w:rsid w:val="00D5462F"/>
    <w:rsid w:val="00D6248A"/>
    <w:rsid w:val="00D640A8"/>
    <w:rsid w:val="00D67AC1"/>
    <w:rsid w:val="00D67EBB"/>
    <w:rsid w:val="00D72B7D"/>
    <w:rsid w:val="00D77383"/>
    <w:rsid w:val="00D77D4E"/>
    <w:rsid w:val="00D80C4B"/>
    <w:rsid w:val="00D814EE"/>
    <w:rsid w:val="00D819E0"/>
    <w:rsid w:val="00D82107"/>
    <w:rsid w:val="00D82DB2"/>
    <w:rsid w:val="00D83BBC"/>
    <w:rsid w:val="00D83D0C"/>
    <w:rsid w:val="00D85A0D"/>
    <w:rsid w:val="00D9044C"/>
    <w:rsid w:val="00D9201B"/>
    <w:rsid w:val="00D952D8"/>
    <w:rsid w:val="00D972CF"/>
    <w:rsid w:val="00DA18C9"/>
    <w:rsid w:val="00DA45E6"/>
    <w:rsid w:val="00DA70D5"/>
    <w:rsid w:val="00DB17AF"/>
    <w:rsid w:val="00DB1C45"/>
    <w:rsid w:val="00DB370C"/>
    <w:rsid w:val="00DB4332"/>
    <w:rsid w:val="00DB4BE5"/>
    <w:rsid w:val="00DB4DFF"/>
    <w:rsid w:val="00DB55D3"/>
    <w:rsid w:val="00DC0D4A"/>
    <w:rsid w:val="00DC57C9"/>
    <w:rsid w:val="00DC5886"/>
    <w:rsid w:val="00DC59E8"/>
    <w:rsid w:val="00DC65F9"/>
    <w:rsid w:val="00DC6B04"/>
    <w:rsid w:val="00DC6BC1"/>
    <w:rsid w:val="00DC7203"/>
    <w:rsid w:val="00DC7DB4"/>
    <w:rsid w:val="00DD07D8"/>
    <w:rsid w:val="00DD1700"/>
    <w:rsid w:val="00DD43E1"/>
    <w:rsid w:val="00DD6A35"/>
    <w:rsid w:val="00DE2CEF"/>
    <w:rsid w:val="00DE3674"/>
    <w:rsid w:val="00DE3C9D"/>
    <w:rsid w:val="00DE451E"/>
    <w:rsid w:val="00DE5E8A"/>
    <w:rsid w:val="00DE7006"/>
    <w:rsid w:val="00DF3540"/>
    <w:rsid w:val="00DF4091"/>
    <w:rsid w:val="00DF7831"/>
    <w:rsid w:val="00E0213C"/>
    <w:rsid w:val="00E02AE7"/>
    <w:rsid w:val="00E031C2"/>
    <w:rsid w:val="00E03687"/>
    <w:rsid w:val="00E04F5F"/>
    <w:rsid w:val="00E05FCB"/>
    <w:rsid w:val="00E1236F"/>
    <w:rsid w:val="00E12E53"/>
    <w:rsid w:val="00E1352B"/>
    <w:rsid w:val="00E1629C"/>
    <w:rsid w:val="00E214FA"/>
    <w:rsid w:val="00E2253F"/>
    <w:rsid w:val="00E25C67"/>
    <w:rsid w:val="00E265E7"/>
    <w:rsid w:val="00E27FA0"/>
    <w:rsid w:val="00E316C6"/>
    <w:rsid w:val="00E36003"/>
    <w:rsid w:val="00E3758C"/>
    <w:rsid w:val="00E37B5F"/>
    <w:rsid w:val="00E401B4"/>
    <w:rsid w:val="00E41481"/>
    <w:rsid w:val="00E455A4"/>
    <w:rsid w:val="00E51544"/>
    <w:rsid w:val="00E51A83"/>
    <w:rsid w:val="00E5370C"/>
    <w:rsid w:val="00E5498A"/>
    <w:rsid w:val="00E55E28"/>
    <w:rsid w:val="00E56515"/>
    <w:rsid w:val="00E57116"/>
    <w:rsid w:val="00E572EF"/>
    <w:rsid w:val="00E60A3E"/>
    <w:rsid w:val="00E618ED"/>
    <w:rsid w:val="00E62E0C"/>
    <w:rsid w:val="00E63D4E"/>
    <w:rsid w:val="00E63F1E"/>
    <w:rsid w:val="00E65A0C"/>
    <w:rsid w:val="00E663B6"/>
    <w:rsid w:val="00E66BBB"/>
    <w:rsid w:val="00E66C89"/>
    <w:rsid w:val="00E7117E"/>
    <w:rsid w:val="00E7519C"/>
    <w:rsid w:val="00E75BE9"/>
    <w:rsid w:val="00E76828"/>
    <w:rsid w:val="00E76DCE"/>
    <w:rsid w:val="00E76E4D"/>
    <w:rsid w:val="00E80F54"/>
    <w:rsid w:val="00E82900"/>
    <w:rsid w:val="00E83322"/>
    <w:rsid w:val="00E83797"/>
    <w:rsid w:val="00E84979"/>
    <w:rsid w:val="00E84D37"/>
    <w:rsid w:val="00E85DAC"/>
    <w:rsid w:val="00E90243"/>
    <w:rsid w:val="00E91FC4"/>
    <w:rsid w:val="00E92237"/>
    <w:rsid w:val="00E957E4"/>
    <w:rsid w:val="00E95FA1"/>
    <w:rsid w:val="00EA08B0"/>
    <w:rsid w:val="00EA1A8E"/>
    <w:rsid w:val="00EA565F"/>
    <w:rsid w:val="00EA71DB"/>
    <w:rsid w:val="00EB2FA0"/>
    <w:rsid w:val="00EB35B1"/>
    <w:rsid w:val="00EB3D36"/>
    <w:rsid w:val="00EB7257"/>
    <w:rsid w:val="00EC04C5"/>
    <w:rsid w:val="00EC0F66"/>
    <w:rsid w:val="00EC24BB"/>
    <w:rsid w:val="00EC3121"/>
    <w:rsid w:val="00EC3A06"/>
    <w:rsid w:val="00EC3E08"/>
    <w:rsid w:val="00EC5CB0"/>
    <w:rsid w:val="00EC6638"/>
    <w:rsid w:val="00EC7BB8"/>
    <w:rsid w:val="00ED077A"/>
    <w:rsid w:val="00ED1D70"/>
    <w:rsid w:val="00ED7172"/>
    <w:rsid w:val="00EE0A40"/>
    <w:rsid w:val="00EE1F37"/>
    <w:rsid w:val="00EE261C"/>
    <w:rsid w:val="00EE2E21"/>
    <w:rsid w:val="00EE378E"/>
    <w:rsid w:val="00EE3D65"/>
    <w:rsid w:val="00EE5063"/>
    <w:rsid w:val="00EE70A3"/>
    <w:rsid w:val="00EE7407"/>
    <w:rsid w:val="00EF0C18"/>
    <w:rsid w:val="00EF2A84"/>
    <w:rsid w:val="00EF5C83"/>
    <w:rsid w:val="00EF647C"/>
    <w:rsid w:val="00EF6761"/>
    <w:rsid w:val="00EF7AA8"/>
    <w:rsid w:val="00F01C5D"/>
    <w:rsid w:val="00F03266"/>
    <w:rsid w:val="00F03A2B"/>
    <w:rsid w:val="00F06143"/>
    <w:rsid w:val="00F062B9"/>
    <w:rsid w:val="00F110C0"/>
    <w:rsid w:val="00F1188E"/>
    <w:rsid w:val="00F12A3E"/>
    <w:rsid w:val="00F12FA3"/>
    <w:rsid w:val="00F131B7"/>
    <w:rsid w:val="00F16D99"/>
    <w:rsid w:val="00F246FE"/>
    <w:rsid w:val="00F255A0"/>
    <w:rsid w:val="00F25E35"/>
    <w:rsid w:val="00F307B4"/>
    <w:rsid w:val="00F3377B"/>
    <w:rsid w:val="00F35E9D"/>
    <w:rsid w:val="00F36B00"/>
    <w:rsid w:val="00F36F91"/>
    <w:rsid w:val="00F431EA"/>
    <w:rsid w:val="00F457A5"/>
    <w:rsid w:val="00F45AB4"/>
    <w:rsid w:val="00F46721"/>
    <w:rsid w:val="00F46DED"/>
    <w:rsid w:val="00F47C51"/>
    <w:rsid w:val="00F52114"/>
    <w:rsid w:val="00F535C6"/>
    <w:rsid w:val="00F539ED"/>
    <w:rsid w:val="00F5601C"/>
    <w:rsid w:val="00F56EFA"/>
    <w:rsid w:val="00F5709F"/>
    <w:rsid w:val="00F62B2C"/>
    <w:rsid w:val="00F664AD"/>
    <w:rsid w:val="00F66827"/>
    <w:rsid w:val="00F70396"/>
    <w:rsid w:val="00F72743"/>
    <w:rsid w:val="00F727F7"/>
    <w:rsid w:val="00F73FD8"/>
    <w:rsid w:val="00F7485E"/>
    <w:rsid w:val="00F80B10"/>
    <w:rsid w:val="00F80F4E"/>
    <w:rsid w:val="00F81363"/>
    <w:rsid w:val="00F830CF"/>
    <w:rsid w:val="00F848A2"/>
    <w:rsid w:val="00F85D7D"/>
    <w:rsid w:val="00F86AF9"/>
    <w:rsid w:val="00F91390"/>
    <w:rsid w:val="00F913B8"/>
    <w:rsid w:val="00F91AE5"/>
    <w:rsid w:val="00F93B68"/>
    <w:rsid w:val="00F93FD3"/>
    <w:rsid w:val="00FA055C"/>
    <w:rsid w:val="00FA16FE"/>
    <w:rsid w:val="00FA1EBB"/>
    <w:rsid w:val="00FA1FA9"/>
    <w:rsid w:val="00FA35F1"/>
    <w:rsid w:val="00FA4E47"/>
    <w:rsid w:val="00FA5197"/>
    <w:rsid w:val="00FA6183"/>
    <w:rsid w:val="00FA6C25"/>
    <w:rsid w:val="00FA7164"/>
    <w:rsid w:val="00FA78A4"/>
    <w:rsid w:val="00FB089E"/>
    <w:rsid w:val="00FB174E"/>
    <w:rsid w:val="00FB42A8"/>
    <w:rsid w:val="00FB6F98"/>
    <w:rsid w:val="00FB72D9"/>
    <w:rsid w:val="00FB74D4"/>
    <w:rsid w:val="00FB7A74"/>
    <w:rsid w:val="00FC1DE5"/>
    <w:rsid w:val="00FC2650"/>
    <w:rsid w:val="00FC33A4"/>
    <w:rsid w:val="00FC7863"/>
    <w:rsid w:val="00FD084F"/>
    <w:rsid w:val="00FD1B79"/>
    <w:rsid w:val="00FD1EBA"/>
    <w:rsid w:val="00FD424B"/>
    <w:rsid w:val="00FD53CB"/>
    <w:rsid w:val="00FD6254"/>
    <w:rsid w:val="00FD6DB6"/>
    <w:rsid w:val="00FE05AC"/>
    <w:rsid w:val="00FE50D4"/>
    <w:rsid w:val="00FE6589"/>
    <w:rsid w:val="00FE6E37"/>
    <w:rsid w:val="00FE6F57"/>
    <w:rsid w:val="00FF070C"/>
    <w:rsid w:val="00FF46FB"/>
    <w:rsid w:val="00FF4BD4"/>
    <w:rsid w:val="00FF504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C6FB"/>
  <w15:docId w15:val="{603B7163-8B2D-A948-B3CA-115A700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E5"/>
    <w:pPr>
      <w:ind w:left="720"/>
      <w:contextualSpacing/>
    </w:pPr>
  </w:style>
  <w:style w:type="paragraph" w:customStyle="1" w:styleId="Default">
    <w:name w:val="Default"/>
    <w:rsid w:val="00842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27C6C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7C6C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C27C6C"/>
    <w:pPr>
      <w:spacing w:line="48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27C6C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7968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0A"/>
  </w:style>
  <w:style w:type="paragraph" w:styleId="Footer">
    <w:name w:val="footer"/>
    <w:basedOn w:val="Normal"/>
    <w:link w:val="FooterChar"/>
    <w:uiPriority w:val="99"/>
    <w:unhideWhenUsed/>
    <w:rsid w:val="0009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0A"/>
  </w:style>
  <w:style w:type="paragraph" w:styleId="BalloonText">
    <w:name w:val="Balloon Text"/>
    <w:basedOn w:val="Normal"/>
    <w:link w:val="BalloonTextChar"/>
    <w:uiPriority w:val="99"/>
    <w:semiHidden/>
    <w:unhideWhenUsed/>
    <w:rsid w:val="00F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6555-1998-4783-B48D-C8030B2E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</cp:revision>
  <cp:lastPrinted>2021-04-06T15:20:00Z</cp:lastPrinted>
  <dcterms:created xsi:type="dcterms:W3CDTF">2021-05-25T15:11:00Z</dcterms:created>
  <dcterms:modified xsi:type="dcterms:W3CDTF">2021-05-25T15:13:00Z</dcterms:modified>
</cp:coreProperties>
</file>