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963048" w14:textId="6DC60F73" w:rsidR="006A504E" w:rsidRPr="001843A7" w:rsidRDefault="006A504E" w:rsidP="006A504E">
      <w:pPr>
        <w:spacing w:line="480" w:lineRule="auto"/>
        <w:jc w:val="both"/>
        <w:rPr>
          <w:b/>
        </w:rPr>
      </w:pPr>
      <w:r w:rsidRPr="00C8194F">
        <w:rPr>
          <w:b/>
          <w:sz w:val="24"/>
        </w:rPr>
        <w:t>Supplementa</w:t>
      </w:r>
      <w:r w:rsidR="005F19BC">
        <w:rPr>
          <w:b/>
          <w:sz w:val="24"/>
        </w:rPr>
        <w:t>ry</w:t>
      </w:r>
      <w:r w:rsidRPr="00C8194F">
        <w:rPr>
          <w:b/>
          <w:sz w:val="24"/>
        </w:rPr>
        <w:t xml:space="preserve"> Figures</w:t>
      </w:r>
    </w:p>
    <w:p w14:paraId="5CF132A0" w14:textId="19E16EBA" w:rsidR="00BD671A" w:rsidRDefault="00BD671A" w:rsidP="006A504E">
      <w:pPr>
        <w:pStyle w:val="Text"/>
        <w:spacing w:line="480" w:lineRule="auto"/>
        <w:ind w:firstLine="0"/>
        <w:rPr>
          <w:b/>
          <w:szCs w:val="20"/>
        </w:rPr>
      </w:pPr>
      <w:r>
        <w:rPr>
          <w:b/>
          <w:noProof/>
          <w:szCs w:val="20"/>
        </w:rPr>
        <w:drawing>
          <wp:inline distT="0" distB="0" distL="0" distR="0" wp14:anchorId="74B21A6C" wp14:editId="61C41BD7">
            <wp:extent cx="4660900" cy="1930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R-19-0608R_Suppl_Fig_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1842C" w14:textId="7EA67A4B" w:rsidR="00BD671A" w:rsidRPr="00BD671A" w:rsidRDefault="00BD671A" w:rsidP="00BD671A">
      <w:pPr>
        <w:pStyle w:val="Legendtext"/>
        <w:rPr>
          <w:b w:val="0"/>
        </w:rPr>
      </w:pPr>
      <w:bookmarkStart w:id="0" w:name="OLE_LINK27"/>
      <w:bookmarkStart w:id="1" w:name="OLE_LINK28"/>
      <w:bookmarkStart w:id="2" w:name="OLE_LINK20"/>
      <w:bookmarkStart w:id="3" w:name="OLE_LINK21"/>
      <w:bookmarkStart w:id="4" w:name="OLE_LINK24"/>
      <w:bookmarkStart w:id="5" w:name="OLE_LINK25"/>
      <w:r w:rsidRPr="00BD671A">
        <w:rPr>
          <w:lang w:eastAsia="zh-TW"/>
        </w:rPr>
        <w:t>Supplementary</w:t>
      </w:r>
      <w:bookmarkEnd w:id="0"/>
      <w:bookmarkEnd w:id="1"/>
      <w:r w:rsidRPr="00BD671A">
        <w:rPr>
          <w:lang w:eastAsia="zh-TW"/>
        </w:rPr>
        <w:t xml:space="preserve"> Figure 1.</w:t>
      </w:r>
      <w:bookmarkEnd w:id="2"/>
      <w:bookmarkEnd w:id="3"/>
      <w:r w:rsidRPr="00BD671A">
        <w:rPr>
          <w:b w:val="0"/>
          <w:lang w:eastAsia="zh-TW"/>
        </w:rPr>
        <w:t xml:space="preserve"> </w:t>
      </w:r>
      <w:r w:rsidRPr="00E27F90">
        <w:rPr>
          <w:lang w:eastAsia="zh-TW"/>
        </w:rPr>
        <w:t>Killing ability of HLA-A2 matched marrow infiltrating lymphocytes.</w:t>
      </w:r>
      <w:r w:rsidRPr="00BD671A">
        <w:rPr>
          <w:b w:val="0"/>
          <w:lang w:eastAsia="zh-TW"/>
        </w:rPr>
        <w:t xml:space="preserve"> </w:t>
      </w:r>
      <w:r w:rsidRPr="00BD671A">
        <w:t>(A)</w:t>
      </w:r>
      <w:r w:rsidRPr="00BD671A">
        <w:rPr>
          <w:b w:val="0"/>
          <w:lang w:eastAsia="zh-TW"/>
        </w:rPr>
        <w:t xml:space="preserve"> </w:t>
      </w:r>
      <w:r w:rsidRPr="00BD671A">
        <w:rPr>
          <w:b w:val="0"/>
        </w:rPr>
        <w:t>FACS-staining on CD3–positive MILs. Cells were stained with anti-HLA-A2 antibody (light grey histogram) and subsequently analyzed by FACS. Isotype control is shown as dark grey histogram.</w:t>
      </w:r>
      <w:bookmarkEnd w:id="4"/>
      <w:bookmarkEnd w:id="5"/>
      <w:r w:rsidRPr="00BD671A">
        <w:rPr>
          <w:b w:val="0"/>
        </w:rPr>
        <w:t xml:space="preserve"> </w:t>
      </w:r>
      <w:r w:rsidRPr="00BD671A">
        <w:t>(B)</w:t>
      </w:r>
      <w:r w:rsidRPr="00BD671A">
        <w:rPr>
          <w:b w:val="0"/>
        </w:rPr>
        <w:t xml:space="preserve"> 5000 and 2500 KMM-1-luc cells were co-cultured with MILs in different E:T ratios (20:1, 10:1 and no T cells) and luciferase activity of lysed tumor cells was measured. Columns show mean +/- standard deviation (SD) of two independent experiments. P-values were calculated using two-tailed student´s t-test. * p ≤ 0.05; ** p ≤ 0.01; *** p ≤ 0.001.</w:t>
      </w:r>
    </w:p>
    <w:p w14:paraId="12D86C08" w14:textId="77777777" w:rsidR="00BD671A" w:rsidRDefault="00BD671A" w:rsidP="006A504E">
      <w:pPr>
        <w:pStyle w:val="Text"/>
        <w:spacing w:line="480" w:lineRule="auto"/>
        <w:ind w:firstLine="0"/>
        <w:rPr>
          <w:b/>
          <w:szCs w:val="20"/>
        </w:rPr>
      </w:pPr>
      <w:r>
        <w:rPr>
          <w:b/>
          <w:noProof/>
          <w:szCs w:val="20"/>
        </w:rPr>
        <w:lastRenderedPageBreak/>
        <w:drawing>
          <wp:inline distT="0" distB="0" distL="0" distR="0" wp14:anchorId="42FD80D1" wp14:editId="3B6D00B7">
            <wp:extent cx="5930900" cy="7099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R-19-0608R_Suppl_Fig_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61871" w14:textId="77777777" w:rsidR="00BD671A" w:rsidRDefault="00BD671A" w:rsidP="00BD671A">
      <w:pPr>
        <w:pStyle w:val="Legendtext"/>
        <w:rPr>
          <w:noProof/>
        </w:rPr>
      </w:pPr>
      <w:r w:rsidRPr="00BD671A">
        <w:rPr>
          <w:bCs/>
        </w:rPr>
        <w:t>Supplementary Figure 2.</w:t>
      </w:r>
      <w:r w:rsidRPr="00BD671A">
        <w:rPr>
          <w:b w:val="0"/>
          <w:bCs/>
        </w:rPr>
        <w:t xml:space="preserve"> </w:t>
      </w:r>
      <w:r w:rsidRPr="00E27F90">
        <w:rPr>
          <w:bCs/>
        </w:rPr>
        <w:t>HTP-screening scheme for novel immune-checkpoints in MM.</w:t>
      </w:r>
      <w:r w:rsidRPr="00BD671A">
        <w:rPr>
          <w:b w:val="0"/>
          <w:bCs/>
        </w:rPr>
        <w:t xml:space="preserve"> </w:t>
      </w:r>
      <w:r w:rsidRPr="00BD671A">
        <w:rPr>
          <w:b w:val="0"/>
        </w:rPr>
        <w:t>A siRNA library of 2887 genes is arrayed in a 384-well format. Each well contains a pool of four non-overlapping siRNA sequences targeting the same gene. Luciferase-expressing KMM-1 (KMM-1-luc) tumor cells are seeded in each well (reverse transfection). In the cytotoxicity setup, 48h after transfection, patient-derived HLA-A2-matched MILs (marrow infiltrating lymphocytes) are added and co-cultured with transfected tumor cells for 20h. Supernatant is removed and luciferase activity of remaining tumor cells is measured after tumor cell lysis. To identify candidate immune-checkpoint molecules, cytotoxicity (tumor cell death) should increase (lowering luciferase activity) upon gene silencing (grey bar) compared to control siRNA (black bar). The HTP-assay also includes viability controls per gene knockdown to which no MILs are added to exclude genes with intrinsic impact on cell survival.</w:t>
      </w:r>
      <w:r w:rsidRPr="001843A7">
        <w:t xml:space="preserve"> </w:t>
      </w:r>
    </w:p>
    <w:p w14:paraId="08C05BA2" w14:textId="00D9366D" w:rsidR="006243CB" w:rsidRDefault="00BD671A" w:rsidP="00BD671A">
      <w:pPr>
        <w:pStyle w:val="Legendtext"/>
      </w:pPr>
      <w:r>
        <w:rPr>
          <w:noProof/>
        </w:rPr>
        <w:lastRenderedPageBreak/>
        <w:drawing>
          <wp:inline distT="0" distB="0" distL="0" distR="0" wp14:anchorId="523CB66D" wp14:editId="5FC13EC0">
            <wp:extent cx="5715000" cy="4610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IR-19-0608R_Suppl_Fig_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9B131" w14:textId="0BCD488D" w:rsidR="006243CB" w:rsidRPr="00D05AC9" w:rsidRDefault="006243CB" w:rsidP="00BD671A">
      <w:pPr>
        <w:pStyle w:val="Legendtext"/>
        <w:rPr>
          <w:b w:val="0"/>
        </w:rPr>
      </w:pPr>
      <w:bookmarkStart w:id="6" w:name="OLE_LINK18"/>
      <w:bookmarkStart w:id="7" w:name="OLE_LINK19"/>
      <w:r w:rsidRPr="00D05AC9">
        <w:rPr>
          <w:lang w:eastAsia="zh-TW"/>
        </w:rPr>
        <w:t>Supplementary Figure 3.</w:t>
      </w:r>
      <w:r w:rsidRPr="00D05AC9">
        <w:rPr>
          <w:b w:val="0"/>
          <w:lang w:eastAsia="zh-TW"/>
        </w:rPr>
        <w:t xml:space="preserve"> </w:t>
      </w:r>
      <w:bookmarkEnd w:id="6"/>
      <w:bookmarkEnd w:id="7"/>
      <w:r w:rsidRPr="00D05AC9">
        <w:rPr>
          <w:lang w:eastAsia="zh-TW"/>
        </w:rPr>
        <w:t>Phenotypic characterization of T cells and tumor cells.</w:t>
      </w:r>
      <w:r w:rsidRPr="00D05AC9">
        <w:rPr>
          <w:b w:val="0"/>
          <w:lang w:eastAsia="zh-TW"/>
        </w:rPr>
        <w:t xml:space="preserve"> </w:t>
      </w:r>
      <w:r w:rsidRPr="00D05AC9">
        <w:rPr>
          <w:lang w:eastAsia="zh-TW"/>
        </w:rPr>
        <w:t>(A)</w:t>
      </w:r>
      <w:r w:rsidRPr="00D05AC9">
        <w:rPr>
          <w:b w:val="0"/>
          <w:lang w:eastAsia="zh-TW"/>
        </w:rPr>
        <w:t xml:space="preserve"> </w:t>
      </w:r>
      <w:r w:rsidRPr="00D05AC9">
        <w:rPr>
          <w:b w:val="0"/>
        </w:rPr>
        <w:t xml:space="preserve">FACS-analysis of PD-1 (light blue histogram) expression on flu TC. Isotype is shown as dark grey histogram. </w:t>
      </w:r>
      <w:r w:rsidRPr="00D05AC9">
        <w:t>(B)</w:t>
      </w:r>
      <w:r w:rsidRPr="00D05AC9">
        <w:rPr>
          <w:b w:val="0"/>
        </w:rPr>
        <w:t xml:space="preserve"> </w:t>
      </w:r>
      <w:r w:rsidRPr="00D05AC9">
        <w:rPr>
          <w:b w:val="0"/>
          <w:u w:val="single"/>
        </w:rPr>
        <w:t xml:space="preserve">KMM-1-luc cells were transfected with the indicated siRNA sequences for 48h and pulsed with 0,005μg/ml of HLA-A*02 matched flu peptide for 1h before co-culture with flu-specific T cells (E:T 2,5:1) for 20h. T cell-mediated lysis of target knockdown was determined by measuring the remaining luciferase activity of tumor cells. Representative data of at least two independent experiments. Columns show mean +/- SEM. </w:t>
      </w:r>
      <w:r w:rsidRPr="00D05AC9">
        <w:rPr>
          <w:u w:val="single"/>
        </w:rPr>
        <w:t>(C)</w:t>
      </w:r>
      <w:r w:rsidRPr="00D05AC9">
        <w:rPr>
          <w:b w:val="0"/>
        </w:rPr>
        <w:t xml:space="preserve"> FACS-analysis of HLA-A2 (light grey histogram) and PD-L1 (blue histogram) on U266 tumor cells. Isotype control is shown as dark grey histogram. </w:t>
      </w:r>
      <w:r w:rsidRPr="00D05AC9">
        <w:t>(D)</w:t>
      </w:r>
      <w:r w:rsidRPr="00D05AC9">
        <w:rPr>
          <w:b w:val="0"/>
        </w:rPr>
        <w:t xml:space="preserve"> KMM-1 cells were transfected with </w:t>
      </w:r>
      <w:proofErr w:type="spellStart"/>
      <w:r w:rsidRPr="00D05AC9">
        <w:rPr>
          <w:b w:val="0"/>
        </w:rPr>
        <w:t>scr</w:t>
      </w:r>
      <w:proofErr w:type="spellEnd"/>
      <w:r w:rsidRPr="00D05AC9">
        <w:rPr>
          <w:b w:val="0"/>
        </w:rPr>
        <w:t xml:space="preserve"> or CAMK1D siRNA sequences for 48h. Afterwards MILs were added at an E:T ratio of 10:1 and INF-γ, Granzyme B, IL-2 and TNF-α secretion was measured 20h after co-culture. Anti-CD3/anti-CD28 magnetic beads stimulation served as a positive control. </w:t>
      </w:r>
      <w:bookmarkStart w:id="8" w:name="OLE_LINK17"/>
      <w:bookmarkStart w:id="9" w:name="OLE_LINK22"/>
      <w:r w:rsidRPr="00D05AC9">
        <w:rPr>
          <w:b w:val="0"/>
        </w:rPr>
        <w:t>Representative data of two independent experiments. Columns show mean +/- SD.</w:t>
      </w:r>
      <w:bookmarkEnd w:id="8"/>
      <w:bookmarkEnd w:id="9"/>
      <w:r w:rsidRPr="00D05AC9">
        <w:rPr>
          <w:b w:val="0"/>
        </w:rPr>
        <w:t xml:space="preserve"> P-values were calculated using unpaired two-tailed student´s t-test. * p ≤ 0.05; ** p ≤ 0.01; *** p ≤ 0.001. (E) FACS-analysis of </w:t>
      </w:r>
      <w:proofErr w:type="spellStart"/>
      <w:r w:rsidRPr="00D05AC9">
        <w:rPr>
          <w:b w:val="0"/>
        </w:rPr>
        <w:t>FasL</w:t>
      </w:r>
      <w:proofErr w:type="spellEnd"/>
      <w:r w:rsidRPr="00D05AC9">
        <w:rPr>
          <w:b w:val="0"/>
        </w:rPr>
        <w:t xml:space="preserve"> (orange histogram) expression on flu TC. Isotype is shown as dark grey histogram.</w:t>
      </w:r>
    </w:p>
    <w:p w14:paraId="6751291E" w14:textId="77777777" w:rsidR="006243CB" w:rsidRPr="006243CB" w:rsidRDefault="006243CB" w:rsidP="00BD671A">
      <w:pPr>
        <w:pStyle w:val="Legendtext"/>
        <w:rPr>
          <w:b w:val="0"/>
        </w:rPr>
      </w:pPr>
    </w:p>
    <w:p w14:paraId="011158F2" w14:textId="45978B7F" w:rsidR="00BD671A" w:rsidRDefault="00BD671A" w:rsidP="00BD671A">
      <w:pPr>
        <w:pStyle w:val="Legendtext"/>
      </w:pPr>
      <w:r>
        <w:rPr>
          <w:noProof/>
        </w:rPr>
        <w:lastRenderedPageBreak/>
        <w:drawing>
          <wp:inline distT="0" distB="0" distL="0" distR="0" wp14:anchorId="5CD20E89" wp14:editId="13913687">
            <wp:extent cx="4991100" cy="2336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IR-19-0608R_Suppl_Fig_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F64F2" w14:textId="4B0FE4E7" w:rsidR="006243CB" w:rsidRDefault="006243CB" w:rsidP="00BD671A">
      <w:pPr>
        <w:pStyle w:val="Legendtext"/>
        <w:rPr>
          <w:b w:val="0"/>
          <w:u w:val="single"/>
        </w:rPr>
      </w:pPr>
      <w:r w:rsidRPr="00E27F90">
        <w:rPr>
          <w:rFonts w:cs="Times New Roman"/>
          <w:lang w:eastAsia="zh-TW"/>
        </w:rPr>
        <w:t xml:space="preserve">Supplementary Figure 4. PD-L1 positive tumor cells. (A) </w:t>
      </w:r>
      <w:r w:rsidRPr="00E27F90">
        <w:rPr>
          <w:rFonts w:cs="Times New Roman"/>
          <w:b w:val="0"/>
        </w:rPr>
        <w:t xml:space="preserve">FACS-staining on Mel270 cells. Cells were stained with anti-PD-L1 (blue histogram) antibody and subsequently analyzed by FACS. Isotype control is shown as dark grey histogram. </w:t>
      </w:r>
      <w:r w:rsidRPr="00E27F90">
        <w:rPr>
          <w:rFonts w:cs="Times New Roman"/>
          <w:u w:val="single"/>
        </w:rPr>
        <w:t>(B)</w:t>
      </w:r>
      <w:r w:rsidRPr="00E27F90">
        <w:rPr>
          <w:rFonts w:cs="Times New Roman"/>
          <w:b w:val="0"/>
          <w:u w:val="single"/>
        </w:rPr>
        <w:t xml:space="preserve"> </w:t>
      </w:r>
      <w:r w:rsidRPr="00E27F90">
        <w:rPr>
          <w:b w:val="0"/>
          <w:u w:val="single"/>
        </w:rPr>
        <w:t xml:space="preserve">Live cell-imaging analysis. PANC-1 tumor cells were transfected with the indicated siRNA sequences and co-cultured with </w:t>
      </w:r>
      <w:bookmarkStart w:id="10" w:name="OLE_LINK23"/>
      <w:bookmarkStart w:id="11" w:name="OLE_LINK26"/>
      <w:r w:rsidRPr="00E27F90">
        <w:rPr>
          <w:b w:val="0"/>
          <w:u w:val="single"/>
        </w:rPr>
        <w:t>PDAC</w:t>
      </w:r>
      <w:bookmarkEnd w:id="10"/>
      <w:bookmarkEnd w:id="11"/>
      <w:r w:rsidRPr="00E27F90">
        <w:rPr>
          <w:b w:val="0"/>
          <w:u w:val="single"/>
        </w:rPr>
        <w:t xml:space="preserve">-patient-derived TILs. Tumor cell death was measured by the addition of the YOYO-1 dye. Columns show the green object counted (GCO). siSIK3 was used as a positive control. </w:t>
      </w:r>
      <w:r w:rsidRPr="00E27F90">
        <w:rPr>
          <w:u w:val="single"/>
        </w:rPr>
        <w:t>(C)</w:t>
      </w:r>
      <w:r w:rsidRPr="00E27F90">
        <w:rPr>
          <w:b w:val="0"/>
          <w:u w:val="single"/>
        </w:rPr>
        <w:t xml:space="preserve"> Luciferase-based kill assay. MCF-7 tumor cells were transfected with </w:t>
      </w:r>
      <w:proofErr w:type="spellStart"/>
      <w:r w:rsidRPr="00E27F90">
        <w:rPr>
          <w:b w:val="0"/>
          <w:u w:val="single"/>
        </w:rPr>
        <w:t>scr</w:t>
      </w:r>
      <w:proofErr w:type="spellEnd"/>
      <w:r w:rsidRPr="00E27F90">
        <w:rPr>
          <w:b w:val="0"/>
          <w:u w:val="single"/>
        </w:rPr>
        <w:t xml:space="preserve"> or siCAMK1D siRNAs for 48h and pulsed with 0,01μg/ml of flu peptide for 1h before co-culture with flu-specific T cells (E:T 2:1) for 20h. T cell-mediated lysis knocked down tumor cells was determined by measuring the remaining luciferase activity.</w:t>
      </w:r>
      <w:r w:rsidRPr="00E27F90">
        <w:rPr>
          <w:rFonts w:cs="Times New Roman"/>
          <w:b w:val="0"/>
          <w:u w:val="single"/>
        </w:rPr>
        <w:t xml:space="preserve"> </w:t>
      </w:r>
      <w:r w:rsidRPr="00E27F90">
        <w:rPr>
          <w:u w:val="single"/>
        </w:rPr>
        <w:t>(B, C)</w:t>
      </w:r>
      <w:r w:rsidRPr="00E27F90">
        <w:rPr>
          <w:b w:val="0"/>
          <w:u w:val="single"/>
        </w:rPr>
        <w:t xml:space="preserve"> Representative data of at least two independent experiments. Graphs show mean +/- SD.  P-values were calculated using unpaired two-tailed student´s t-test. * p &lt; 0.05, ** p &lt; 0.01, *** p &lt; 0.001, **** p&lt; 0.0001</w:t>
      </w:r>
    </w:p>
    <w:p w14:paraId="14192B6C" w14:textId="77D14B4A" w:rsidR="00D05AC9" w:rsidRPr="00D05AC9" w:rsidRDefault="00D05AC9" w:rsidP="00D05AC9">
      <w:pPr>
        <w:rPr>
          <w:rFonts w:eastAsia="Times New Roman" w:cs="Arial"/>
          <w:b/>
          <w:spacing w:val="8"/>
        </w:rPr>
      </w:pPr>
      <w:r>
        <w:br w:type="page"/>
      </w:r>
    </w:p>
    <w:p w14:paraId="73350245" w14:textId="77777777" w:rsidR="006243CB" w:rsidRDefault="006243CB" w:rsidP="00BD671A">
      <w:pPr>
        <w:pStyle w:val="Legendtext"/>
      </w:pPr>
    </w:p>
    <w:p w14:paraId="0D030920" w14:textId="5DEE6E9A" w:rsidR="00E27F90" w:rsidRDefault="00BD671A" w:rsidP="006A504E">
      <w:pPr>
        <w:pStyle w:val="Text"/>
        <w:spacing w:line="480" w:lineRule="auto"/>
        <w:ind w:firstLine="0"/>
        <w:rPr>
          <w:b/>
          <w:szCs w:val="20"/>
        </w:rPr>
      </w:pPr>
      <w:r>
        <w:rPr>
          <w:b/>
          <w:noProof/>
          <w:szCs w:val="20"/>
        </w:rPr>
        <w:drawing>
          <wp:inline distT="0" distB="0" distL="0" distR="0" wp14:anchorId="14709DAE" wp14:editId="44E5864D">
            <wp:extent cx="5765800" cy="4521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IR-19-0608R_Suppl_Fig_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31DD6" w14:textId="4885EBD1" w:rsidR="00E27F90" w:rsidRPr="00EE1005" w:rsidRDefault="00E27F90" w:rsidP="00EE1005">
      <w:pPr>
        <w:pStyle w:val="Legendtext"/>
        <w:spacing w:line="240" w:lineRule="auto"/>
        <w:rPr>
          <w:rFonts w:cs="Times New Roman"/>
          <w:lang w:eastAsia="zh-TW"/>
        </w:rPr>
      </w:pPr>
      <w:r w:rsidRPr="001843A7">
        <w:rPr>
          <w:rFonts w:cs="Times New Roman"/>
          <w:lang w:eastAsia="zh-TW"/>
        </w:rPr>
        <w:t>Supplementa</w:t>
      </w:r>
      <w:r>
        <w:rPr>
          <w:rFonts w:cs="Times New Roman"/>
          <w:lang w:eastAsia="zh-TW"/>
        </w:rPr>
        <w:t>ry</w:t>
      </w:r>
      <w:r w:rsidRPr="001843A7">
        <w:rPr>
          <w:rFonts w:cs="Times New Roman"/>
          <w:lang w:eastAsia="zh-TW"/>
        </w:rPr>
        <w:t xml:space="preserve"> Figure 5. TCGA analysis for patient survival probability correlating with </w:t>
      </w:r>
      <w:proofErr w:type="spellStart"/>
      <w:r w:rsidRPr="001843A7">
        <w:rPr>
          <w:rFonts w:cs="Times New Roman"/>
          <w:lang w:eastAsia="zh-TW"/>
        </w:rPr>
        <w:t>Fas</w:t>
      </w:r>
      <w:proofErr w:type="spellEnd"/>
      <w:r w:rsidRPr="001843A7">
        <w:rPr>
          <w:rFonts w:cs="Times New Roman"/>
          <w:lang w:eastAsia="zh-TW"/>
        </w:rPr>
        <w:t xml:space="preserve">, CAMK1D and PD-L1. </w:t>
      </w:r>
      <w:r w:rsidRPr="001843A7">
        <w:rPr>
          <w:rFonts w:cs="Times New Roman"/>
          <w:b w:val="0"/>
        </w:rPr>
        <w:t xml:space="preserve">Correlation between CAMK1D and </w:t>
      </w:r>
      <w:proofErr w:type="spellStart"/>
      <w:r w:rsidRPr="001843A7">
        <w:rPr>
          <w:rFonts w:cs="Times New Roman"/>
          <w:b w:val="0"/>
        </w:rPr>
        <w:t>Fas</w:t>
      </w:r>
      <w:proofErr w:type="spellEnd"/>
      <w:r w:rsidRPr="001843A7">
        <w:rPr>
          <w:rFonts w:cs="Times New Roman"/>
          <w:b w:val="0"/>
        </w:rPr>
        <w:t xml:space="preserve"> expression on patient survival in </w:t>
      </w:r>
      <w:r w:rsidRPr="001843A7">
        <w:rPr>
          <w:rFonts w:cs="Times New Roman"/>
        </w:rPr>
        <w:t>(</w:t>
      </w:r>
      <w:r>
        <w:rPr>
          <w:rFonts w:cs="Times New Roman"/>
        </w:rPr>
        <w:t>A</w:t>
      </w:r>
      <w:r w:rsidRPr="001843A7">
        <w:rPr>
          <w:rFonts w:cs="Times New Roman"/>
        </w:rPr>
        <w:t>)</w:t>
      </w:r>
      <w:r w:rsidRPr="001843A7">
        <w:rPr>
          <w:rFonts w:cs="Times New Roman"/>
          <w:b w:val="0"/>
        </w:rPr>
        <w:t xml:space="preserve"> Ovarian serous cystadenocarcinoma (OV), </w:t>
      </w:r>
      <w:r w:rsidRPr="001843A7">
        <w:rPr>
          <w:rFonts w:cs="Times New Roman"/>
        </w:rPr>
        <w:t>(</w:t>
      </w:r>
      <w:r>
        <w:rPr>
          <w:rFonts w:cs="Times New Roman"/>
        </w:rPr>
        <w:t>B</w:t>
      </w:r>
      <w:r w:rsidRPr="001843A7">
        <w:rPr>
          <w:rFonts w:cs="Times New Roman"/>
        </w:rPr>
        <w:t>)</w:t>
      </w:r>
      <w:r w:rsidRPr="001843A7">
        <w:rPr>
          <w:rFonts w:cs="Times New Roman"/>
          <w:b w:val="0"/>
        </w:rPr>
        <w:t xml:space="preserve"> Stomach adenocarcinoma (STAD) and </w:t>
      </w:r>
      <w:r w:rsidRPr="001843A7">
        <w:rPr>
          <w:rFonts w:cs="Times New Roman"/>
        </w:rPr>
        <w:t>(</w:t>
      </w:r>
      <w:r>
        <w:rPr>
          <w:rFonts w:cs="Times New Roman"/>
        </w:rPr>
        <w:t>C</w:t>
      </w:r>
      <w:r w:rsidRPr="001843A7">
        <w:rPr>
          <w:rFonts w:cs="Times New Roman"/>
        </w:rPr>
        <w:t>)</w:t>
      </w:r>
      <w:r w:rsidRPr="001843A7">
        <w:rPr>
          <w:rFonts w:cs="Times New Roman"/>
          <w:b w:val="0"/>
        </w:rPr>
        <w:t xml:space="preserve"> Stomach and Esophageal carcinoma (STES).</w:t>
      </w:r>
      <w:r w:rsidRPr="001843A7">
        <w:rPr>
          <w:rFonts w:cs="Times New Roman"/>
        </w:rPr>
        <w:t xml:space="preserve"> </w:t>
      </w:r>
      <w:proofErr w:type="spellStart"/>
      <w:r w:rsidRPr="001843A7">
        <w:rPr>
          <w:rFonts w:cs="Times New Roman"/>
          <w:b w:val="0"/>
        </w:rPr>
        <w:t>Fas</w:t>
      </w:r>
      <w:proofErr w:type="spellEnd"/>
      <w:r w:rsidRPr="001843A7">
        <w:rPr>
          <w:rFonts w:cs="Times New Roman"/>
          <w:b w:val="0"/>
        </w:rPr>
        <w:t xml:space="preserve"> high and </w:t>
      </w:r>
      <w:proofErr w:type="spellStart"/>
      <w:r w:rsidRPr="001843A7">
        <w:rPr>
          <w:rFonts w:cs="Times New Roman"/>
          <w:b w:val="0"/>
        </w:rPr>
        <w:t>Fas</w:t>
      </w:r>
      <w:proofErr w:type="spellEnd"/>
      <w:r w:rsidRPr="001843A7">
        <w:rPr>
          <w:rFonts w:cs="Times New Roman"/>
          <w:b w:val="0"/>
        </w:rPr>
        <w:t xml:space="preserve"> low OV, STAD and STES patients were divided in CAMK1D high and low expression according to the median of CAMK1D expression. Kaplan-Meier curves showing the correlation between CAMK1D expression and patients’ survival probability were generated using TCGA clinical data. Significance was calculated using the log-rank test. </w:t>
      </w:r>
      <w:r w:rsidRPr="001843A7">
        <w:rPr>
          <w:rFonts w:cs="Times New Roman"/>
        </w:rPr>
        <w:t>(</w:t>
      </w:r>
      <w:r>
        <w:rPr>
          <w:rFonts w:cs="Times New Roman"/>
        </w:rPr>
        <w:t>D</w:t>
      </w:r>
      <w:r w:rsidRPr="001843A7">
        <w:rPr>
          <w:rFonts w:cs="Times New Roman"/>
        </w:rPr>
        <w:t xml:space="preserve">, </w:t>
      </w:r>
      <w:r>
        <w:rPr>
          <w:rFonts w:cs="Times New Roman"/>
        </w:rPr>
        <w:t>E</w:t>
      </w:r>
      <w:r w:rsidRPr="001843A7">
        <w:rPr>
          <w:rFonts w:cs="Times New Roman"/>
        </w:rPr>
        <w:t xml:space="preserve">, </w:t>
      </w:r>
      <w:r>
        <w:rPr>
          <w:rFonts w:cs="Times New Roman"/>
        </w:rPr>
        <w:t>F</w:t>
      </w:r>
      <w:r w:rsidRPr="001843A7">
        <w:rPr>
          <w:rFonts w:cs="Times New Roman"/>
        </w:rPr>
        <w:t>)</w:t>
      </w:r>
      <w:r w:rsidRPr="001843A7">
        <w:rPr>
          <w:rFonts w:cs="Times New Roman"/>
          <w:b w:val="0"/>
        </w:rPr>
        <w:t xml:space="preserve"> Graphs show CAMK1D and PD-L1 correlation in OV, STAD and STES. </w:t>
      </w:r>
    </w:p>
    <w:p w14:paraId="0F46F4C9" w14:textId="77777777" w:rsidR="00E27F90" w:rsidRDefault="00E27F90" w:rsidP="006A504E">
      <w:pPr>
        <w:pStyle w:val="Text"/>
        <w:spacing w:line="480" w:lineRule="auto"/>
        <w:ind w:firstLine="0"/>
        <w:rPr>
          <w:b/>
          <w:szCs w:val="20"/>
        </w:rPr>
      </w:pPr>
    </w:p>
    <w:p w14:paraId="367D670D" w14:textId="14A56834" w:rsidR="00EE1005" w:rsidRDefault="00BD671A" w:rsidP="006A504E">
      <w:pPr>
        <w:pStyle w:val="Text"/>
        <w:spacing w:line="480" w:lineRule="auto"/>
        <w:ind w:firstLine="0"/>
        <w:rPr>
          <w:b/>
          <w:szCs w:val="20"/>
        </w:rPr>
      </w:pPr>
      <w:r>
        <w:rPr>
          <w:b/>
          <w:noProof/>
          <w:szCs w:val="20"/>
        </w:rPr>
        <w:lastRenderedPageBreak/>
        <w:drawing>
          <wp:inline distT="0" distB="0" distL="0" distR="0" wp14:anchorId="2B48DAD9" wp14:editId="345E06B9">
            <wp:extent cx="5372100" cy="3670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IR-19-0608R_Suppl_Fig_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65870" w14:textId="77777777" w:rsidR="00EE1005" w:rsidRDefault="00EE1005" w:rsidP="00EE1005">
      <w:pPr>
        <w:pStyle w:val="Legendtext"/>
        <w:spacing w:line="240" w:lineRule="auto"/>
        <w:rPr>
          <w:rFonts w:cs="Times New Roman"/>
          <w:lang w:eastAsia="zh-TW"/>
        </w:rPr>
      </w:pPr>
    </w:p>
    <w:p w14:paraId="328C1B21" w14:textId="07969F73" w:rsidR="00EE1005" w:rsidRPr="00EE1005" w:rsidRDefault="00EE1005" w:rsidP="00EE1005">
      <w:pPr>
        <w:pStyle w:val="Legendtext"/>
        <w:spacing w:line="240" w:lineRule="auto"/>
        <w:rPr>
          <w:rFonts w:cs="Times New Roman"/>
          <w:b w:val="0"/>
          <w:u w:val="single"/>
          <w:lang w:eastAsia="zh-TW"/>
        </w:rPr>
      </w:pPr>
      <w:r w:rsidRPr="001843A7">
        <w:rPr>
          <w:rFonts w:cs="Times New Roman"/>
          <w:lang w:eastAsia="zh-TW"/>
        </w:rPr>
        <w:t>Supplementa</w:t>
      </w:r>
      <w:r>
        <w:rPr>
          <w:rFonts w:cs="Times New Roman"/>
          <w:lang w:eastAsia="zh-TW"/>
        </w:rPr>
        <w:t>ry</w:t>
      </w:r>
      <w:r w:rsidRPr="00B57CB8">
        <w:rPr>
          <w:rFonts w:cs="Times New Roman"/>
          <w:lang w:eastAsia="zh-TW"/>
        </w:rPr>
        <w:t xml:space="preserve"> Figure 6. The role of CAMK1D in murine tumor cells. (A)</w:t>
      </w:r>
      <w:r w:rsidRPr="00B57CB8">
        <w:rPr>
          <w:rFonts w:cs="Times New Roman"/>
          <w:b w:val="0"/>
          <w:lang w:eastAsia="zh-TW"/>
        </w:rPr>
        <w:t xml:space="preserve"> Western blot measuring CAMK1D in MC38 single clones generated upon CRISPR/Cas9 transfection. </w:t>
      </w:r>
      <w:r w:rsidRPr="00B57CB8">
        <w:rPr>
          <w:rFonts w:cs="Times New Roman"/>
          <w:lang w:eastAsia="zh-TW"/>
        </w:rPr>
        <w:t>(B)</w:t>
      </w:r>
      <w:r w:rsidRPr="00B57CB8">
        <w:rPr>
          <w:rFonts w:cs="Times New Roman"/>
          <w:b w:val="0"/>
          <w:lang w:eastAsia="zh-TW"/>
        </w:rPr>
        <w:t xml:space="preserve"> </w:t>
      </w:r>
      <w:r w:rsidRPr="00B57CB8">
        <w:rPr>
          <w:b w:val="0"/>
        </w:rPr>
        <w:t xml:space="preserve">Live cell-imaging analysis showing </w:t>
      </w:r>
      <w:r w:rsidRPr="00B57CB8">
        <w:rPr>
          <w:rFonts w:cs="Times New Roman"/>
          <w:b w:val="0"/>
          <w:lang w:eastAsia="zh-TW"/>
        </w:rPr>
        <w:t xml:space="preserve">CAMK1D –proficient and -deficient MC38 cells treated with </w:t>
      </w:r>
      <w:proofErr w:type="spellStart"/>
      <w:r w:rsidRPr="00B57CB8">
        <w:rPr>
          <w:rFonts w:cs="Times New Roman"/>
          <w:b w:val="0"/>
          <w:lang w:eastAsia="zh-TW"/>
        </w:rPr>
        <w:t>rMfasl</w:t>
      </w:r>
      <w:proofErr w:type="spellEnd"/>
      <w:r w:rsidRPr="00B57CB8">
        <w:rPr>
          <w:rFonts w:cs="Times New Roman"/>
          <w:b w:val="0"/>
          <w:lang w:eastAsia="zh-TW"/>
        </w:rPr>
        <w:t xml:space="preserve"> (left) or </w:t>
      </w:r>
      <w:proofErr w:type="spellStart"/>
      <w:r w:rsidRPr="00B57CB8">
        <w:rPr>
          <w:rFonts w:cs="Times New Roman"/>
          <w:b w:val="0"/>
          <w:lang w:eastAsia="zh-TW"/>
        </w:rPr>
        <w:t>rMtrail</w:t>
      </w:r>
      <w:proofErr w:type="spellEnd"/>
      <w:r w:rsidRPr="00B57CB8">
        <w:rPr>
          <w:rFonts w:cs="Times New Roman"/>
          <w:b w:val="0"/>
          <w:lang w:eastAsia="zh-TW"/>
        </w:rPr>
        <w:t xml:space="preserve"> (right). </w:t>
      </w:r>
      <w:r w:rsidRPr="00B57CB8">
        <w:rPr>
          <w:rFonts w:cs="Times New Roman"/>
          <w:b w:val="0"/>
        </w:rPr>
        <w:t>A fluorescent dye (YOYO-1) was added as an indicator of apoptosis measured as green object counted (GCO). The experiment is representative of two independent experiments. Values denote mean ± SEM.</w:t>
      </w:r>
      <w:r w:rsidRPr="0060083C">
        <w:rPr>
          <w:rFonts w:cs="Times New Roman"/>
          <w:b w:val="0"/>
          <w:u w:val="single"/>
        </w:rPr>
        <w:t xml:space="preserve"> </w:t>
      </w:r>
      <w:r w:rsidRPr="0060083C">
        <w:rPr>
          <w:rFonts w:cs="Times New Roman"/>
          <w:b w:val="0"/>
          <w:u w:val="single"/>
          <w:lang w:eastAsia="zh-TW"/>
        </w:rPr>
        <w:t xml:space="preserve">   </w:t>
      </w:r>
    </w:p>
    <w:p w14:paraId="26943341" w14:textId="77777777" w:rsidR="00EE1005" w:rsidRDefault="00EE1005" w:rsidP="006A504E">
      <w:pPr>
        <w:pStyle w:val="Text"/>
        <w:spacing w:line="480" w:lineRule="auto"/>
        <w:ind w:firstLine="0"/>
        <w:rPr>
          <w:b/>
          <w:szCs w:val="20"/>
        </w:rPr>
      </w:pPr>
    </w:p>
    <w:p w14:paraId="64185009" w14:textId="7FE506FB" w:rsidR="00EE1005" w:rsidRDefault="00BD671A" w:rsidP="00EE1005">
      <w:pPr>
        <w:pStyle w:val="Text"/>
        <w:spacing w:line="480" w:lineRule="auto"/>
        <w:ind w:firstLine="0"/>
      </w:pPr>
      <w:r>
        <w:rPr>
          <w:b/>
          <w:noProof/>
          <w:szCs w:val="20"/>
        </w:rPr>
        <w:lastRenderedPageBreak/>
        <w:drawing>
          <wp:inline distT="0" distB="0" distL="0" distR="0" wp14:anchorId="6FB7BAC4" wp14:editId="1634BD61">
            <wp:extent cx="5905500" cy="5791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IR-19-0608R_Suppl_Fig_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392E6" w14:textId="4000FB15" w:rsidR="00E422F5" w:rsidRPr="00EE1005" w:rsidRDefault="00EE1005" w:rsidP="00EE1005">
      <w:pPr>
        <w:pStyle w:val="Legendtext"/>
        <w:rPr>
          <w:rFonts w:cs="Times New Roman"/>
          <w:b w:val="0"/>
        </w:rPr>
      </w:pPr>
      <w:r w:rsidRPr="001843A7">
        <w:rPr>
          <w:rFonts w:cs="Times New Roman"/>
          <w:lang w:eastAsia="zh-TW"/>
        </w:rPr>
        <w:t>Supplementa</w:t>
      </w:r>
      <w:r>
        <w:rPr>
          <w:rFonts w:cs="Times New Roman"/>
          <w:lang w:eastAsia="zh-TW"/>
        </w:rPr>
        <w:t>ry</w:t>
      </w:r>
      <w:r w:rsidRPr="001843A7">
        <w:rPr>
          <w:rFonts w:cs="Times New Roman"/>
          <w:lang w:eastAsia="zh-TW"/>
        </w:rPr>
        <w:t xml:space="preserve"> Figure </w:t>
      </w:r>
      <w:r>
        <w:rPr>
          <w:rFonts w:cs="Times New Roman"/>
          <w:lang w:eastAsia="zh-TW"/>
        </w:rPr>
        <w:t>7</w:t>
      </w:r>
      <w:r w:rsidRPr="001843A7">
        <w:rPr>
          <w:rFonts w:cs="Times New Roman"/>
          <w:lang w:eastAsia="zh-TW"/>
        </w:rPr>
        <w:t xml:space="preserve">. CAMK1D </w:t>
      </w:r>
      <w:r>
        <w:rPr>
          <w:rFonts w:cs="Times New Roman"/>
          <w:lang w:eastAsia="zh-TW"/>
        </w:rPr>
        <w:t>interference with the apoptotic cascade</w:t>
      </w:r>
      <w:r w:rsidRPr="001843A7">
        <w:rPr>
          <w:rFonts w:cs="Times New Roman"/>
          <w:lang w:eastAsia="zh-TW"/>
        </w:rPr>
        <w:t>. (</w:t>
      </w:r>
      <w:r>
        <w:rPr>
          <w:rFonts w:cs="Times New Roman"/>
          <w:lang w:eastAsia="zh-TW"/>
        </w:rPr>
        <w:t>A</w:t>
      </w:r>
      <w:r w:rsidRPr="001843A7">
        <w:rPr>
          <w:rFonts w:cs="Times New Roman"/>
          <w:lang w:eastAsia="zh-TW"/>
        </w:rPr>
        <w:t xml:space="preserve">) </w:t>
      </w:r>
      <w:r w:rsidRPr="001843A7">
        <w:rPr>
          <w:rFonts w:cs="Times New Roman"/>
          <w:b w:val="0"/>
        </w:rPr>
        <w:t>CAMK1D-proficient and -deficient cells were stimulated with rHuFasL for the indicated time frame and full-length and cleaved caspase-7 were measured via western blot. The Sodium Potassium ATPase was used as housekeeping gene. Representative results of at least two independent experiments.</w:t>
      </w:r>
      <w:r>
        <w:rPr>
          <w:rFonts w:cs="Times New Roman"/>
          <w:b w:val="0"/>
        </w:rPr>
        <w:t xml:space="preserve"> </w:t>
      </w:r>
      <w:r w:rsidRPr="00B57CB8">
        <w:t xml:space="preserve">(B) </w:t>
      </w:r>
      <w:r w:rsidRPr="00B57CB8">
        <w:rPr>
          <w:b w:val="0"/>
        </w:rPr>
        <w:t xml:space="preserve">CAMK1D-proficient and -deficient cells were stimulated with rHuFasL for different time frames (15min, 30min, 1h, 2h, 4h and 8h). Protein levels were normalized to GAPDH and compared to </w:t>
      </w:r>
      <w:proofErr w:type="spellStart"/>
      <w:r w:rsidRPr="00B57CB8">
        <w:rPr>
          <w:b w:val="0"/>
        </w:rPr>
        <w:t>scr</w:t>
      </w:r>
      <w:proofErr w:type="spellEnd"/>
      <w:r w:rsidRPr="00B57CB8">
        <w:rPr>
          <w:b w:val="0"/>
        </w:rPr>
        <w:t xml:space="preserve">-unstimulated cells. The amount of </w:t>
      </w:r>
      <w:proofErr w:type="spellStart"/>
      <w:r w:rsidRPr="00B57CB8">
        <w:rPr>
          <w:b w:val="0"/>
        </w:rPr>
        <w:t>pCREB</w:t>
      </w:r>
      <w:proofErr w:type="spellEnd"/>
      <w:r w:rsidRPr="00B57CB8">
        <w:rPr>
          <w:b w:val="0"/>
        </w:rPr>
        <w:t>, pBcl-2 and pERK1/2 was measured. The experiment is representative of thre</w:t>
      </w:r>
      <w:bookmarkStart w:id="12" w:name="_GoBack"/>
      <w:bookmarkEnd w:id="12"/>
      <w:r w:rsidRPr="00B57CB8">
        <w:rPr>
          <w:b w:val="0"/>
        </w:rPr>
        <w:t xml:space="preserve">e independent experiments. Values denote mean </w:t>
      </w:r>
      <w:bookmarkStart w:id="13" w:name="OLE_LINK9"/>
      <w:bookmarkStart w:id="14" w:name="OLE_LINK10"/>
      <w:r w:rsidRPr="00B57CB8">
        <w:rPr>
          <w:b w:val="0"/>
        </w:rPr>
        <w:t>± SD</w:t>
      </w:r>
      <w:bookmarkEnd w:id="13"/>
      <w:bookmarkEnd w:id="14"/>
      <w:r w:rsidRPr="00B57CB8">
        <w:rPr>
          <w:b w:val="0"/>
        </w:rPr>
        <w:t>.</w:t>
      </w:r>
      <w:r w:rsidRPr="00B57CB8">
        <w:rPr>
          <w:rFonts w:cs="Times New Roman"/>
          <w:b w:val="0"/>
        </w:rPr>
        <w:t xml:space="preserve"> </w:t>
      </w:r>
      <w:r w:rsidRPr="00B57CB8">
        <w:t>(C)</w:t>
      </w:r>
      <w:r w:rsidRPr="00B57CB8">
        <w:rPr>
          <w:b w:val="0"/>
        </w:rPr>
        <w:t xml:space="preserve"> Representative blot showing co-immunoprecipitation of caspase-7 and CAMK1D. KMM-1 cells were stimulated with rHuFasL for 4h. Unstimulated cells were used as negative control. Unstimulated and stimulated cell lysates were used as positive control for CAMK1D detection. </w:t>
      </w:r>
      <w:r w:rsidRPr="00B57CB8">
        <w:t>(D)</w:t>
      </w:r>
      <w:r w:rsidRPr="00B57CB8">
        <w:rPr>
          <w:b w:val="0"/>
        </w:rPr>
        <w:t xml:space="preserve"> Caspase-3 and Caspase-6 amino acid sequence</w:t>
      </w:r>
      <w:r w:rsidR="00870E0C">
        <w:rPr>
          <w:b w:val="0"/>
        </w:rPr>
        <w:t>s</w:t>
      </w:r>
      <w:r w:rsidRPr="00B57CB8">
        <w:rPr>
          <w:b w:val="0"/>
        </w:rPr>
        <w:t xml:space="preserve"> showing the</w:t>
      </w:r>
      <w:r w:rsidR="00870E0C">
        <w:rPr>
          <w:b w:val="0"/>
        </w:rPr>
        <w:t xml:space="preserve"> predicted</w:t>
      </w:r>
      <w:r w:rsidRPr="00B57CB8">
        <w:rPr>
          <w:b w:val="0"/>
        </w:rPr>
        <w:t xml:space="preserve"> phosphorylation site and potential binding domain of CAMK1D</w:t>
      </w:r>
      <w:r w:rsidR="00870E0C">
        <w:rPr>
          <w:b w:val="0"/>
        </w:rPr>
        <w:t xml:space="preserve"> </w:t>
      </w:r>
      <w:r w:rsidR="00870E0C" w:rsidRPr="00FD115C">
        <w:rPr>
          <w:rFonts w:cs="Times New Roman"/>
          <w:b w:val="0"/>
        </w:rPr>
        <w:t>on caspase-3 and -6</w:t>
      </w:r>
      <w:r w:rsidR="00870E0C">
        <w:rPr>
          <w:rFonts w:cs="Times New Roman"/>
          <w:b w:val="0"/>
        </w:rPr>
        <w:t xml:space="preserve"> </w:t>
      </w:r>
      <w:r w:rsidR="00870E0C" w:rsidRPr="00FD115C">
        <w:rPr>
          <w:rFonts w:cs="Times New Roman"/>
          <w:b w:val="0"/>
        </w:rPr>
        <w:t xml:space="preserve">using the webtools </w:t>
      </w:r>
      <w:proofErr w:type="spellStart"/>
      <w:r w:rsidR="00870E0C" w:rsidRPr="00FD115C">
        <w:rPr>
          <w:rFonts w:cs="Times New Roman"/>
          <w:b w:val="0"/>
        </w:rPr>
        <w:t>KinaseNet</w:t>
      </w:r>
      <w:proofErr w:type="spellEnd"/>
      <w:r w:rsidR="00870E0C" w:rsidRPr="00FD115C">
        <w:rPr>
          <w:rFonts w:cs="Times New Roman"/>
          <w:b w:val="0"/>
        </w:rPr>
        <w:t xml:space="preserve"> and </w:t>
      </w:r>
      <w:proofErr w:type="spellStart"/>
      <w:r w:rsidR="00870E0C" w:rsidRPr="00FD115C">
        <w:rPr>
          <w:rFonts w:cs="Times New Roman"/>
          <w:b w:val="0"/>
        </w:rPr>
        <w:t>UniProt</w:t>
      </w:r>
      <w:proofErr w:type="spellEnd"/>
      <w:r w:rsidR="00870E0C" w:rsidRPr="00FD115C">
        <w:rPr>
          <w:rFonts w:cs="Times New Roman"/>
          <w:b w:val="0"/>
        </w:rPr>
        <w:t xml:space="preserve"> (http://www.kinasenet.ca/showProtein; https://www.uniprot.org/uniprot/P42574)</w:t>
      </w:r>
      <w:r w:rsidRPr="00B57CB8">
        <w:rPr>
          <w:b w:val="0"/>
        </w:rPr>
        <w:t xml:space="preserve">. </w:t>
      </w:r>
      <w:r w:rsidRPr="00B57CB8">
        <w:t>(B)</w:t>
      </w:r>
      <w:r w:rsidRPr="00B57CB8">
        <w:rPr>
          <w:b w:val="0"/>
        </w:rPr>
        <w:t xml:space="preserve"> Graphs show mean ± SD and statistical significance was calculated using unpaired, two-tailed Student’s t-test. * p ≤ 0.05; ** p ≤ 0.01; *** p ≤ 0.001; **** p ≤ 0.0001.</w:t>
      </w:r>
    </w:p>
    <w:sectPr w:rsidR="00E422F5" w:rsidRPr="00EE1005" w:rsidSect="006A504E">
      <w:footerReference w:type="default" r:id="rId13"/>
      <w:pgSz w:w="11900" w:h="16840"/>
      <w:pgMar w:top="1417" w:right="1134" w:bottom="1134" w:left="1134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4B393" w14:textId="77777777" w:rsidR="00E319F3" w:rsidRDefault="00E319F3" w:rsidP="00F60F0B">
      <w:r>
        <w:separator/>
      </w:r>
    </w:p>
  </w:endnote>
  <w:endnote w:type="continuationSeparator" w:id="0">
    <w:p w14:paraId="22A1579D" w14:textId="77777777" w:rsidR="00E319F3" w:rsidRDefault="00E319F3" w:rsidP="00F60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381098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B0FC45" w14:textId="7C4D7020" w:rsidR="00F60F0B" w:rsidRDefault="00F60F0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0E0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2A6898C" w14:textId="77777777" w:rsidR="00F60F0B" w:rsidRDefault="00F60F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4533EE" w14:textId="77777777" w:rsidR="00E319F3" w:rsidRDefault="00E319F3" w:rsidP="00F60F0B">
      <w:r>
        <w:separator/>
      </w:r>
    </w:p>
  </w:footnote>
  <w:footnote w:type="continuationSeparator" w:id="0">
    <w:p w14:paraId="7FF08A4A" w14:textId="77777777" w:rsidR="00E319F3" w:rsidRDefault="00E319F3" w:rsidP="00F60F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04E"/>
    <w:rsid w:val="00030EDB"/>
    <w:rsid w:val="000F50E2"/>
    <w:rsid w:val="0013358F"/>
    <w:rsid w:val="0024781A"/>
    <w:rsid w:val="002633F5"/>
    <w:rsid w:val="0030260D"/>
    <w:rsid w:val="00395955"/>
    <w:rsid w:val="003C77F9"/>
    <w:rsid w:val="004E1FF3"/>
    <w:rsid w:val="005248E6"/>
    <w:rsid w:val="00572B22"/>
    <w:rsid w:val="005910D8"/>
    <w:rsid w:val="005C48C7"/>
    <w:rsid w:val="005F19BC"/>
    <w:rsid w:val="0060083C"/>
    <w:rsid w:val="006144E2"/>
    <w:rsid w:val="006243CB"/>
    <w:rsid w:val="00636131"/>
    <w:rsid w:val="00663477"/>
    <w:rsid w:val="00687713"/>
    <w:rsid w:val="006A504E"/>
    <w:rsid w:val="006A7AC8"/>
    <w:rsid w:val="006B2727"/>
    <w:rsid w:val="006D3655"/>
    <w:rsid w:val="00722983"/>
    <w:rsid w:val="007679EB"/>
    <w:rsid w:val="0077487C"/>
    <w:rsid w:val="0079373F"/>
    <w:rsid w:val="007A1198"/>
    <w:rsid w:val="007B2FCD"/>
    <w:rsid w:val="007B332C"/>
    <w:rsid w:val="00825743"/>
    <w:rsid w:val="00870E0C"/>
    <w:rsid w:val="008B2846"/>
    <w:rsid w:val="008B2858"/>
    <w:rsid w:val="008E0E1E"/>
    <w:rsid w:val="008F3E12"/>
    <w:rsid w:val="0099157A"/>
    <w:rsid w:val="009C4EC3"/>
    <w:rsid w:val="00A239C6"/>
    <w:rsid w:val="00A403FD"/>
    <w:rsid w:val="00A771B2"/>
    <w:rsid w:val="00A97468"/>
    <w:rsid w:val="00AC3C69"/>
    <w:rsid w:val="00AE7C76"/>
    <w:rsid w:val="00B427C6"/>
    <w:rsid w:val="00B57CB8"/>
    <w:rsid w:val="00B93407"/>
    <w:rsid w:val="00BB4401"/>
    <w:rsid w:val="00BD671A"/>
    <w:rsid w:val="00C53053"/>
    <w:rsid w:val="00D05AC9"/>
    <w:rsid w:val="00D33253"/>
    <w:rsid w:val="00D43FA0"/>
    <w:rsid w:val="00DF10F3"/>
    <w:rsid w:val="00DF5DC2"/>
    <w:rsid w:val="00E12382"/>
    <w:rsid w:val="00E27F90"/>
    <w:rsid w:val="00E319F3"/>
    <w:rsid w:val="00E422F5"/>
    <w:rsid w:val="00EE1005"/>
    <w:rsid w:val="00F60F0B"/>
    <w:rsid w:val="00F6524E"/>
    <w:rsid w:val="00FB5F70"/>
    <w:rsid w:val="00FB726B"/>
    <w:rsid w:val="00FC690F"/>
    <w:rsid w:val="00FD1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FA3E6"/>
  <w15:chartTrackingRefBased/>
  <w15:docId w15:val="{ED5669F3-2DCC-474D-A197-5CA301C67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04E"/>
    <w:rPr>
      <w:rFonts w:ascii="Times New Roman" w:eastAsia="Calibri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link w:val="TextZchn"/>
    <w:qFormat/>
    <w:rsid w:val="006A504E"/>
    <w:pPr>
      <w:spacing w:after="80" w:line="360" w:lineRule="auto"/>
      <w:ind w:firstLine="720"/>
      <w:contextualSpacing/>
      <w:jc w:val="both"/>
    </w:pPr>
    <w:rPr>
      <w:sz w:val="24"/>
      <w:szCs w:val="24"/>
    </w:rPr>
  </w:style>
  <w:style w:type="character" w:customStyle="1" w:styleId="TextZchn">
    <w:name w:val="Text Zchn"/>
    <w:link w:val="Text"/>
    <w:rsid w:val="006A504E"/>
    <w:rPr>
      <w:rFonts w:ascii="Times New Roman" w:eastAsia="Calibri" w:hAnsi="Times New Roman" w:cs="Times New Roman"/>
      <w:lang w:val="en-US"/>
    </w:rPr>
  </w:style>
  <w:style w:type="paragraph" w:customStyle="1" w:styleId="Legendtext">
    <w:name w:val="Legend text"/>
    <w:qFormat/>
    <w:rsid w:val="006A504E"/>
    <w:pPr>
      <w:tabs>
        <w:tab w:val="left" w:pos="993"/>
      </w:tabs>
      <w:spacing w:after="80" w:line="240" w:lineRule="atLeast"/>
      <w:jc w:val="both"/>
    </w:pPr>
    <w:rPr>
      <w:rFonts w:ascii="Times New Roman" w:eastAsia="Times New Roman" w:hAnsi="Times New Roman" w:cs="Arial"/>
      <w:b/>
      <w:spacing w:val="8"/>
      <w:sz w:val="20"/>
      <w:szCs w:val="20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6A504E"/>
  </w:style>
  <w:style w:type="paragraph" w:styleId="BalloonText">
    <w:name w:val="Balloon Text"/>
    <w:basedOn w:val="Normal"/>
    <w:link w:val="BalloonTextChar"/>
    <w:uiPriority w:val="99"/>
    <w:semiHidden/>
    <w:unhideWhenUsed/>
    <w:rsid w:val="00DF5DC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DC2"/>
    <w:rPr>
      <w:rFonts w:ascii="Times New Roman" w:eastAsia="Calibri" w:hAnsi="Times New Roman" w:cs="Times New Roman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60F0B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F0B"/>
    <w:rPr>
      <w:rFonts w:ascii="Times New Roman" w:eastAsia="Calibri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60F0B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F0B"/>
    <w:rPr>
      <w:rFonts w:ascii="Times New Roman" w:eastAsia="Calibri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1004</Words>
  <Characters>5723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vale.volpin@gmail.com</dc:creator>
  <cp:keywords/>
  <dc:description/>
  <cp:lastModifiedBy>brittany rubio</cp:lastModifiedBy>
  <cp:revision>5</cp:revision>
  <cp:lastPrinted>2020-05-26T19:10:00Z</cp:lastPrinted>
  <dcterms:created xsi:type="dcterms:W3CDTF">2020-05-26T19:10:00Z</dcterms:created>
  <dcterms:modified xsi:type="dcterms:W3CDTF">2020-07-09T18:49:00Z</dcterms:modified>
</cp:coreProperties>
</file>