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6A060" w14:textId="77777777" w:rsidR="00C263C4" w:rsidRDefault="00C263C4" w:rsidP="00CF3E67">
      <w:pPr>
        <w:pStyle w:val="SOMHead"/>
        <w:spacing w:before="0" w:line="360" w:lineRule="auto"/>
      </w:pPr>
      <w:r w:rsidRPr="00243D50">
        <w:t>SUPPLEMENTARY MATERIALS:</w:t>
      </w:r>
    </w:p>
    <w:p w14:paraId="2DE18B76" w14:textId="77777777" w:rsidR="00F84469" w:rsidRDefault="00F84469" w:rsidP="00CF3E67">
      <w:pPr>
        <w:pStyle w:val="SOMHead"/>
        <w:spacing w:before="0" w:line="360" w:lineRule="auto"/>
      </w:pPr>
    </w:p>
    <w:p w14:paraId="355A93BB" w14:textId="3AA0E712" w:rsidR="00F84469" w:rsidRDefault="004B074D" w:rsidP="00CF3E67">
      <w:pPr>
        <w:pStyle w:val="SOMHead"/>
        <w:spacing w:before="0" w:line="360" w:lineRule="auto"/>
      </w:pPr>
      <w:r w:rsidRPr="004B074D">
        <w:rPr>
          <w:noProof/>
        </w:rPr>
        <w:drawing>
          <wp:inline distT="0" distB="0" distL="0" distR="0" wp14:anchorId="76460E1E" wp14:editId="1AC6D243">
            <wp:extent cx="5943600" cy="1849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6D9D8" w14:textId="67DD32BF" w:rsidR="00F84469" w:rsidRPr="00A677BC" w:rsidRDefault="00F84469" w:rsidP="00CF3E67">
      <w:pPr>
        <w:pStyle w:val="SOMHead"/>
        <w:spacing w:before="0" w:line="360" w:lineRule="auto"/>
        <w:rPr>
          <w:b w:val="0"/>
        </w:rPr>
      </w:pPr>
      <w:r w:rsidRPr="00243D50">
        <w:rPr>
          <w:sz w:val="22"/>
          <w:szCs w:val="22"/>
        </w:rPr>
        <w:t>Supplementary Figure</w:t>
      </w:r>
      <w:r>
        <w:rPr>
          <w:sz w:val="22"/>
          <w:szCs w:val="22"/>
        </w:rPr>
        <w:t xml:space="preserve"> 1</w:t>
      </w:r>
      <w:r w:rsidRPr="00243D50"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Gating strategy to identify tumor-infiltrating </w:t>
      </w:r>
      <w:r w:rsidR="00D059B9">
        <w:rPr>
          <w:sz w:val="22"/>
          <w:szCs w:val="22"/>
        </w:rPr>
        <w:t>immune cells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="00463AAE">
        <w:rPr>
          <w:b w:val="0"/>
          <w:sz w:val="22"/>
          <w:szCs w:val="22"/>
        </w:rPr>
        <w:t xml:space="preserve">Single cell suspensions of digested tumor material were stained for </w:t>
      </w:r>
      <w:r w:rsidR="004B074D">
        <w:rPr>
          <w:b w:val="0"/>
          <w:sz w:val="22"/>
          <w:szCs w:val="22"/>
        </w:rPr>
        <w:t xml:space="preserve">multi-color </w:t>
      </w:r>
      <w:r w:rsidR="00463AAE">
        <w:rPr>
          <w:b w:val="0"/>
          <w:sz w:val="22"/>
          <w:szCs w:val="22"/>
        </w:rPr>
        <w:t xml:space="preserve">flow cytometry and data acquired on a </w:t>
      </w:r>
      <w:proofErr w:type="spellStart"/>
      <w:r w:rsidR="00463AAE">
        <w:rPr>
          <w:b w:val="0"/>
          <w:sz w:val="22"/>
          <w:szCs w:val="22"/>
        </w:rPr>
        <w:t>MACSQuant</w:t>
      </w:r>
      <w:proofErr w:type="spellEnd"/>
      <w:r w:rsidR="00463AAE">
        <w:rPr>
          <w:b w:val="0"/>
          <w:sz w:val="22"/>
          <w:szCs w:val="22"/>
        </w:rPr>
        <w:t xml:space="preserve"> 10 cytometer. </w:t>
      </w:r>
      <w:r w:rsidR="00A677BC">
        <w:rPr>
          <w:b w:val="0"/>
          <w:sz w:val="22"/>
          <w:szCs w:val="22"/>
        </w:rPr>
        <w:t xml:space="preserve">A doublet discrimination gate </w:t>
      </w:r>
      <w:r w:rsidR="007D4E95">
        <w:rPr>
          <w:b w:val="0"/>
          <w:sz w:val="22"/>
          <w:szCs w:val="22"/>
        </w:rPr>
        <w:t xml:space="preserve">(FSC-A vs FSC-W) </w:t>
      </w:r>
      <w:r w:rsidR="00A677BC">
        <w:rPr>
          <w:b w:val="0"/>
          <w:sz w:val="22"/>
          <w:szCs w:val="22"/>
        </w:rPr>
        <w:t xml:space="preserve">was utilized to limit data acquisition on single cells. Viable cells were then identified based on exclusion of Zombie aqua dye that stained apoptotic and dead cells.  Thereafter, </w:t>
      </w:r>
      <w:r w:rsidR="004B074D">
        <w:rPr>
          <w:b w:val="0"/>
          <w:sz w:val="22"/>
          <w:szCs w:val="22"/>
        </w:rPr>
        <w:t xml:space="preserve">hematopoietic cells were gated based on CD45 staining and from which CD8 T-cells (or DCs in Fig 4A) were further identified. </w:t>
      </w:r>
    </w:p>
    <w:p w14:paraId="6BE224F7" w14:textId="77777777" w:rsidR="00F3490C" w:rsidRDefault="00F3490C" w:rsidP="00CF3E67">
      <w:pPr>
        <w:pStyle w:val="SOMHead"/>
        <w:spacing w:before="0" w:line="360" w:lineRule="auto"/>
      </w:pPr>
      <w:bookmarkStart w:id="0" w:name="_GoBack"/>
      <w:bookmarkEnd w:id="0"/>
    </w:p>
    <w:p w14:paraId="256A7B23" w14:textId="49CD8132" w:rsidR="00243D50" w:rsidRDefault="00243D50" w:rsidP="00CF3E67">
      <w:pPr>
        <w:pStyle w:val="SOMHead"/>
        <w:spacing w:before="0" w:line="360" w:lineRule="auto"/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95224F1" wp14:editId="1BB5374F">
            <wp:simplePos x="0" y="0"/>
            <wp:positionH relativeFrom="column">
              <wp:posOffset>0</wp:posOffset>
            </wp:positionH>
            <wp:positionV relativeFrom="paragraph">
              <wp:posOffset>308610</wp:posOffset>
            </wp:positionV>
            <wp:extent cx="5943600" cy="23317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 1.eps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77" b="-3542"/>
                    <a:stretch/>
                  </pic:blipFill>
                  <pic:spPr bwMode="auto">
                    <a:xfrm>
                      <a:off x="0" y="0"/>
                      <a:ext cx="5943600" cy="2331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F4DCCFB" w14:textId="2509013B" w:rsidR="00F3490C" w:rsidRDefault="00243D50" w:rsidP="00F3490C">
      <w:pPr>
        <w:spacing w:line="360" w:lineRule="auto"/>
        <w:rPr>
          <w:rFonts w:eastAsia="Times New Roman"/>
          <w:sz w:val="22"/>
          <w:szCs w:val="22"/>
        </w:rPr>
      </w:pPr>
      <w:r w:rsidRPr="00243D50">
        <w:rPr>
          <w:b/>
          <w:sz w:val="22"/>
          <w:szCs w:val="22"/>
        </w:rPr>
        <w:t xml:space="preserve">Supplementary Figure </w:t>
      </w:r>
      <w:r w:rsidR="00F84469">
        <w:rPr>
          <w:b/>
          <w:sz w:val="22"/>
          <w:szCs w:val="22"/>
        </w:rPr>
        <w:t>2</w:t>
      </w:r>
      <w:r w:rsidRPr="00243D50">
        <w:rPr>
          <w:b/>
          <w:sz w:val="22"/>
          <w:szCs w:val="22"/>
        </w:rPr>
        <w:t xml:space="preserve">. Differential tumor expression of interferon-stimulated genes (ISG) induced by radiation. </w:t>
      </w:r>
      <w:r w:rsidRPr="00243D50">
        <w:rPr>
          <w:sz w:val="22"/>
          <w:szCs w:val="22"/>
        </w:rPr>
        <w:t xml:space="preserve">Real-time </w:t>
      </w:r>
      <w:proofErr w:type="spellStart"/>
      <w:r w:rsidRPr="00243D50">
        <w:rPr>
          <w:sz w:val="22"/>
          <w:szCs w:val="22"/>
        </w:rPr>
        <w:t>qRT</w:t>
      </w:r>
      <w:proofErr w:type="spellEnd"/>
      <w:r w:rsidRPr="00243D50">
        <w:rPr>
          <w:sz w:val="22"/>
          <w:szCs w:val="22"/>
        </w:rPr>
        <w:t>-PCR was used to evaluate baseline and RT-induced expression of (</w:t>
      </w:r>
      <w:r w:rsidRPr="00243D50">
        <w:rPr>
          <w:rFonts w:eastAsia="Times New Roman"/>
          <w:b/>
          <w:sz w:val="22"/>
          <w:szCs w:val="22"/>
        </w:rPr>
        <w:t>A)</w:t>
      </w:r>
      <w:r w:rsidRPr="00243D50">
        <w:rPr>
          <w:rFonts w:eastAsia="Times New Roman"/>
          <w:sz w:val="22"/>
          <w:szCs w:val="22"/>
        </w:rPr>
        <w:t xml:space="preserve"> </w:t>
      </w:r>
      <w:r w:rsidRPr="00243D50">
        <w:rPr>
          <w:rFonts w:eastAsia="Times New Roman"/>
          <w:i/>
          <w:sz w:val="22"/>
          <w:szCs w:val="22"/>
        </w:rPr>
        <w:t>Mx1</w:t>
      </w:r>
      <w:r w:rsidRPr="00243D50">
        <w:rPr>
          <w:rFonts w:eastAsia="Times New Roman"/>
          <w:sz w:val="22"/>
          <w:szCs w:val="22"/>
        </w:rPr>
        <w:t xml:space="preserve">, </w:t>
      </w:r>
      <w:r w:rsidRPr="00243D50">
        <w:rPr>
          <w:rFonts w:eastAsia="Times New Roman"/>
          <w:b/>
          <w:sz w:val="22"/>
          <w:szCs w:val="22"/>
        </w:rPr>
        <w:t xml:space="preserve">(B) </w:t>
      </w:r>
      <w:r w:rsidRPr="00243D50">
        <w:rPr>
          <w:rFonts w:eastAsia="Times New Roman"/>
          <w:i/>
          <w:sz w:val="22"/>
          <w:szCs w:val="22"/>
        </w:rPr>
        <w:t>Cxcl10</w:t>
      </w:r>
      <w:r w:rsidRPr="00243D50">
        <w:rPr>
          <w:rFonts w:eastAsia="Times New Roman"/>
          <w:sz w:val="22"/>
          <w:szCs w:val="22"/>
        </w:rPr>
        <w:t xml:space="preserve"> and </w:t>
      </w:r>
      <w:r w:rsidRPr="00243D50">
        <w:rPr>
          <w:rFonts w:eastAsia="Times New Roman"/>
          <w:b/>
          <w:sz w:val="22"/>
          <w:szCs w:val="22"/>
        </w:rPr>
        <w:t xml:space="preserve">(C) </w:t>
      </w:r>
      <w:r w:rsidRPr="00243D50">
        <w:rPr>
          <w:rFonts w:eastAsia="Times New Roman"/>
          <w:i/>
          <w:sz w:val="22"/>
          <w:szCs w:val="22"/>
        </w:rPr>
        <w:t>Ccl4</w:t>
      </w:r>
      <w:r w:rsidRPr="00243D50">
        <w:rPr>
          <w:rFonts w:eastAsia="Times New Roman"/>
          <w:sz w:val="22"/>
          <w:szCs w:val="22"/>
        </w:rPr>
        <w:t xml:space="preserve"> in TSA, MCA38 and LLC1 cell lines.  Results are shown as fold change differences compared to</w:t>
      </w:r>
      <w:r w:rsidR="00854E88">
        <w:rPr>
          <w:rFonts w:eastAsia="Times New Roman"/>
          <w:sz w:val="22"/>
          <w:szCs w:val="22"/>
        </w:rPr>
        <w:t xml:space="preserve"> respective</w:t>
      </w:r>
      <w:r w:rsidRPr="00243D50">
        <w:rPr>
          <w:rFonts w:eastAsia="Times New Roman"/>
          <w:sz w:val="22"/>
          <w:szCs w:val="22"/>
        </w:rPr>
        <w:t xml:space="preserve"> non-irradiated cells, with each dot representing the mean of triplicate reactions run for each sample</w:t>
      </w:r>
      <w:r w:rsidR="00617DF0">
        <w:rPr>
          <w:rFonts w:eastAsia="Times New Roman"/>
          <w:sz w:val="22"/>
          <w:szCs w:val="22"/>
        </w:rPr>
        <w:t>. Bars represent</w:t>
      </w:r>
      <w:r w:rsidR="00854E88">
        <w:rPr>
          <w:rFonts w:eastAsia="Times New Roman"/>
          <w:sz w:val="22"/>
          <w:szCs w:val="22"/>
        </w:rPr>
        <w:t xml:space="preserve"> mean </w:t>
      </w:r>
      <w:r w:rsidR="00854E88">
        <w:rPr>
          <w:bCs/>
          <w:sz w:val="22"/>
          <w:szCs w:val="22"/>
        </w:rPr>
        <w:t>± SD. **p&lt;0.005, ***p&lt;0.0005, t-test</w:t>
      </w:r>
      <w:r w:rsidR="00F3490C">
        <w:rPr>
          <w:bCs/>
          <w:sz w:val="22"/>
          <w:szCs w:val="22"/>
        </w:rPr>
        <w:t>.</w:t>
      </w:r>
    </w:p>
    <w:p w14:paraId="249FE907" w14:textId="59625D96" w:rsidR="00F3490C" w:rsidRDefault="00F3490C" w:rsidP="00243D50">
      <w:pPr>
        <w:spacing w:line="360" w:lineRule="auto"/>
        <w:rPr>
          <w:b/>
          <w:sz w:val="22"/>
          <w:szCs w:val="22"/>
        </w:rPr>
      </w:pPr>
      <w:r>
        <w:rPr>
          <w:rFonts w:eastAsia="Times New Roman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6DD4FCB8" wp14:editId="22FF2A62">
            <wp:simplePos x="0" y="0"/>
            <wp:positionH relativeFrom="column">
              <wp:posOffset>1257300</wp:posOffset>
            </wp:positionH>
            <wp:positionV relativeFrom="paragraph">
              <wp:posOffset>174625</wp:posOffset>
            </wp:positionV>
            <wp:extent cx="3180715" cy="228028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 2.eps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56" b="-51"/>
                    <a:stretch/>
                  </pic:blipFill>
                  <pic:spPr bwMode="auto">
                    <a:xfrm>
                      <a:off x="0" y="0"/>
                      <a:ext cx="3180715" cy="2280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3323B" w14:textId="5B9C454B" w:rsidR="00243D50" w:rsidRPr="00243D50" w:rsidRDefault="00243D50" w:rsidP="00243D50">
      <w:pPr>
        <w:spacing w:line="360" w:lineRule="auto"/>
        <w:rPr>
          <w:sz w:val="22"/>
          <w:szCs w:val="22"/>
        </w:rPr>
      </w:pPr>
      <w:r w:rsidRPr="00243D50">
        <w:rPr>
          <w:b/>
          <w:sz w:val="22"/>
          <w:szCs w:val="22"/>
        </w:rPr>
        <w:t xml:space="preserve">Supplementary Figure </w:t>
      </w:r>
      <w:r w:rsidR="00F84469">
        <w:rPr>
          <w:b/>
          <w:sz w:val="22"/>
          <w:szCs w:val="22"/>
        </w:rPr>
        <w:t>3</w:t>
      </w:r>
      <w:r w:rsidRPr="00243D50">
        <w:rPr>
          <w:b/>
          <w:sz w:val="22"/>
          <w:szCs w:val="22"/>
        </w:rPr>
        <w:t xml:space="preserve">. IL-15 monotherapy does not affect the survival of TSA tumor-bearing WT and </w:t>
      </w:r>
      <w:proofErr w:type="spellStart"/>
      <w:r w:rsidRPr="00243D50">
        <w:rPr>
          <w:b/>
          <w:sz w:val="22"/>
          <w:szCs w:val="22"/>
        </w:rPr>
        <w:t>Batf</w:t>
      </w:r>
      <w:proofErr w:type="spellEnd"/>
      <w:r w:rsidRPr="00243D50">
        <w:rPr>
          <w:b/>
          <w:sz w:val="22"/>
          <w:szCs w:val="22"/>
          <w:vertAlign w:val="superscript"/>
        </w:rPr>
        <w:t>-/-</w:t>
      </w:r>
      <w:r w:rsidRPr="00243D50">
        <w:rPr>
          <w:b/>
          <w:sz w:val="22"/>
          <w:szCs w:val="22"/>
        </w:rPr>
        <w:t xml:space="preserve"> mice.</w:t>
      </w:r>
      <w:r w:rsidRPr="00243D50">
        <w:rPr>
          <w:sz w:val="22"/>
          <w:szCs w:val="22"/>
        </w:rPr>
        <w:t xml:space="preserve"> Mice were inoculated with TSA tumor</w:t>
      </w:r>
      <w:r w:rsidR="00A27BE3">
        <w:rPr>
          <w:sz w:val="22"/>
          <w:szCs w:val="22"/>
        </w:rPr>
        <w:t xml:space="preserve"> c</w:t>
      </w:r>
      <w:r w:rsidRPr="00243D50">
        <w:rPr>
          <w:sz w:val="22"/>
          <w:szCs w:val="22"/>
        </w:rPr>
        <w:t xml:space="preserve">ells and treated with </w:t>
      </w:r>
      <w:proofErr w:type="spellStart"/>
      <w:r w:rsidRPr="00243D50">
        <w:rPr>
          <w:sz w:val="22"/>
          <w:szCs w:val="22"/>
        </w:rPr>
        <w:t>sc</w:t>
      </w:r>
      <w:proofErr w:type="spellEnd"/>
      <w:r w:rsidRPr="00243D50">
        <w:rPr>
          <w:sz w:val="22"/>
          <w:szCs w:val="22"/>
        </w:rPr>
        <w:t xml:space="preserve"> IL-15 or PBS vehicle control for 10 days, as described in Fig 1A. No significant differences in survival between WT and Batf3</w:t>
      </w:r>
      <w:r w:rsidRPr="00243D50">
        <w:rPr>
          <w:sz w:val="22"/>
          <w:szCs w:val="22"/>
          <w:vertAlign w:val="superscript"/>
        </w:rPr>
        <w:t>-/-</w:t>
      </w:r>
      <w:r w:rsidRPr="00243D50">
        <w:rPr>
          <w:sz w:val="22"/>
          <w:szCs w:val="22"/>
        </w:rPr>
        <w:t xml:space="preserve"> mice were seen. IL-15 failed to extend survival regardless of the genetic background (n= 5-7 mice/group).</w:t>
      </w:r>
    </w:p>
    <w:p w14:paraId="391AC851" w14:textId="77777777" w:rsidR="00243D50" w:rsidRDefault="00243D50" w:rsidP="00243D50">
      <w:pPr>
        <w:spacing w:line="480" w:lineRule="auto"/>
        <w:rPr>
          <w:sz w:val="22"/>
          <w:szCs w:val="22"/>
        </w:rPr>
      </w:pPr>
    </w:p>
    <w:p w14:paraId="15B91772" w14:textId="41497882" w:rsidR="006156AF" w:rsidRPr="00413D58" w:rsidRDefault="005D0C58" w:rsidP="00F3490C">
      <w:p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AFD7E10" wp14:editId="4698CBEB">
            <wp:simplePos x="0" y="0"/>
            <wp:positionH relativeFrom="column">
              <wp:posOffset>723900</wp:posOffset>
            </wp:positionH>
            <wp:positionV relativeFrom="paragraph">
              <wp:posOffset>0</wp:posOffset>
            </wp:positionV>
            <wp:extent cx="3848100" cy="210312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 3.eps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0" b="-4000"/>
                    <a:stretch/>
                  </pic:blipFill>
                  <pic:spPr bwMode="auto">
                    <a:xfrm>
                      <a:off x="0" y="0"/>
                      <a:ext cx="3848100" cy="2103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43D50" w:rsidRPr="000F4175">
        <w:rPr>
          <w:b/>
          <w:sz w:val="22"/>
          <w:szCs w:val="22"/>
        </w:rPr>
        <w:t xml:space="preserve">Supplementary Figure </w:t>
      </w:r>
      <w:r w:rsidR="00F84469">
        <w:rPr>
          <w:b/>
          <w:sz w:val="22"/>
          <w:szCs w:val="22"/>
        </w:rPr>
        <w:t>4</w:t>
      </w:r>
      <w:r w:rsidR="00243D50" w:rsidRPr="000F4175">
        <w:rPr>
          <w:b/>
          <w:sz w:val="22"/>
          <w:szCs w:val="22"/>
        </w:rPr>
        <w:t xml:space="preserve">. </w:t>
      </w:r>
      <w:r w:rsidR="000E2ECF">
        <w:rPr>
          <w:b/>
          <w:sz w:val="22"/>
          <w:szCs w:val="22"/>
        </w:rPr>
        <w:t xml:space="preserve">Effect of IFNAR blockade on </w:t>
      </w:r>
      <w:proofErr w:type="spellStart"/>
      <w:r w:rsidR="000E2ECF">
        <w:rPr>
          <w:b/>
          <w:sz w:val="22"/>
          <w:szCs w:val="22"/>
        </w:rPr>
        <w:t>intratumoral</w:t>
      </w:r>
      <w:proofErr w:type="spellEnd"/>
      <w:r w:rsidR="000E2ECF">
        <w:rPr>
          <w:b/>
          <w:sz w:val="22"/>
          <w:szCs w:val="22"/>
        </w:rPr>
        <w:t xml:space="preserve"> </w:t>
      </w:r>
      <w:r w:rsidR="00B26D7D" w:rsidRPr="000F4175">
        <w:rPr>
          <w:b/>
          <w:sz w:val="22"/>
          <w:szCs w:val="22"/>
        </w:rPr>
        <w:t>CD8</w:t>
      </w:r>
      <w:r w:rsidR="000E2ECF">
        <w:rPr>
          <w:b/>
          <w:sz w:val="22"/>
          <w:szCs w:val="22"/>
        </w:rPr>
        <w:t>+ T cells</w:t>
      </w:r>
      <w:r w:rsidR="00B26D7D" w:rsidRPr="000F4175">
        <w:rPr>
          <w:b/>
          <w:sz w:val="22"/>
          <w:szCs w:val="22"/>
        </w:rPr>
        <w:t xml:space="preserve"> </w:t>
      </w:r>
      <w:r w:rsidR="000E2ECF">
        <w:rPr>
          <w:b/>
          <w:sz w:val="22"/>
          <w:szCs w:val="22"/>
        </w:rPr>
        <w:t>in mice treated with</w:t>
      </w:r>
      <w:r w:rsidR="00B26D7D" w:rsidRPr="000F4175">
        <w:rPr>
          <w:b/>
          <w:sz w:val="22"/>
          <w:szCs w:val="22"/>
        </w:rPr>
        <w:t xml:space="preserve"> radiotherapy + IL-15</w:t>
      </w:r>
      <w:r w:rsidR="00B26D7D" w:rsidRPr="000F4175">
        <w:rPr>
          <w:sz w:val="22"/>
          <w:szCs w:val="22"/>
        </w:rPr>
        <w:t>.</w:t>
      </w:r>
      <w:r w:rsidR="00A27BE3" w:rsidRPr="000F4175">
        <w:rPr>
          <w:sz w:val="22"/>
          <w:szCs w:val="22"/>
        </w:rPr>
        <w:t xml:space="preserve"> Mice were inoculated with TSA tumor cells and treated with </w:t>
      </w:r>
      <w:proofErr w:type="spellStart"/>
      <w:r w:rsidR="00A27BE3" w:rsidRPr="000F4175">
        <w:rPr>
          <w:sz w:val="22"/>
          <w:szCs w:val="22"/>
        </w:rPr>
        <w:t>sc</w:t>
      </w:r>
      <w:proofErr w:type="spellEnd"/>
      <w:r w:rsidR="00A27BE3" w:rsidRPr="000F4175">
        <w:rPr>
          <w:sz w:val="22"/>
          <w:szCs w:val="22"/>
        </w:rPr>
        <w:t xml:space="preserve"> IL-15 or PBS vehicle control for 10 days. </w:t>
      </w:r>
      <w:r w:rsidR="00A27BE3" w:rsidRPr="000F4175">
        <w:rPr>
          <w:bCs/>
          <w:sz w:val="22"/>
          <w:szCs w:val="22"/>
        </w:rPr>
        <w:t xml:space="preserve">Some animals were additionally treated with anti-IFNAR antibody (or isotype control) </w:t>
      </w:r>
      <w:r w:rsidR="00BD39A2">
        <w:rPr>
          <w:bCs/>
          <w:sz w:val="22"/>
          <w:szCs w:val="22"/>
        </w:rPr>
        <w:t xml:space="preserve">given </w:t>
      </w:r>
      <w:proofErr w:type="spellStart"/>
      <w:r w:rsidR="00BD39A2">
        <w:rPr>
          <w:bCs/>
          <w:sz w:val="22"/>
          <w:szCs w:val="22"/>
        </w:rPr>
        <w:t>i.p</w:t>
      </w:r>
      <w:proofErr w:type="spellEnd"/>
      <w:r w:rsidR="00BD39A2">
        <w:rPr>
          <w:bCs/>
          <w:sz w:val="22"/>
          <w:szCs w:val="22"/>
        </w:rPr>
        <w:t>. every other day starting at day 12</w:t>
      </w:r>
      <w:r w:rsidR="00351C25">
        <w:rPr>
          <w:bCs/>
          <w:sz w:val="22"/>
          <w:szCs w:val="22"/>
        </w:rPr>
        <w:t xml:space="preserve"> (Fig</w:t>
      </w:r>
      <w:r w:rsidR="00BD39A2">
        <w:rPr>
          <w:bCs/>
          <w:sz w:val="22"/>
          <w:szCs w:val="22"/>
        </w:rPr>
        <w:t>ure</w:t>
      </w:r>
      <w:r w:rsidR="00351C25">
        <w:rPr>
          <w:bCs/>
          <w:sz w:val="22"/>
          <w:szCs w:val="22"/>
        </w:rPr>
        <w:t xml:space="preserve"> 7A)</w:t>
      </w:r>
      <w:r w:rsidR="000F4175">
        <w:rPr>
          <w:bCs/>
          <w:sz w:val="22"/>
          <w:szCs w:val="22"/>
        </w:rPr>
        <w:t xml:space="preserve">. Tumors were harvested on day 18 post tumor implantation and </w:t>
      </w:r>
      <w:r w:rsidR="004E446B">
        <w:rPr>
          <w:bCs/>
          <w:sz w:val="22"/>
          <w:szCs w:val="22"/>
        </w:rPr>
        <w:t xml:space="preserve">flow cytometry used to identify </w:t>
      </w:r>
      <w:r w:rsidR="000F4175">
        <w:rPr>
          <w:bCs/>
          <w:sz w:val="22"/>
          <w:szCs w:val="22"/>
        </w:rPr>
        <w:t>infiltrating CD8</w:t>
      </w:r>
      <w:r w:rsidR="000E2ECF">
        <w:rPr>
          <w:bCs/>
          <w:sz w:val="22"/>
          <w:szCs w:val="22"/>
        </w:rPr>
        <w:t xml:space="preserve">+ T </w:t>
      </w:r>
      <w:r w:rsidR="000F4175">
        <w:rPr>
          <w:bCs/>
          <w:sz w:val="22"/>
          <w:szCs w:val="22"/>
        </w:rPr>
        <w:t xml:space="preserve">cells as a percentage of live CD45+ cells. </w:t>
      </w:r>
      <w:r w:rsidR="008A1329">
        <w:rPr>
          <w:bCs/>
        </w:rPr>
        <w:t>Each dot represents one animal. Bars represent mean ± SD</w:t>
      </w:r>
      <w:r w:rsidR="008A1329">
        <w:rPr>
          <w:bCs/>
          <w:sz w:val="22"/>
          <w:szCs w:val="22"/>
        </w:rPr>
        <w:t xml:space="preserve"> </w:t>
      </w:r>
      <w:r w:rsidR="000F4175">
        <w:rPr>
          <w:bCs/>
          <w:sz w:val="22"/>
          <w:szCs w:val="22"/>
        </w:rPr>
        <w:t xml:space="preserve">*p&lt;0.05, **p&lt;0.005, ***p&lt;0.0005, </w:t>
      </w:r>
      <w:r w:rsidR="00CB3C8C">
        <w:rPr>
          <w:bCs/>
          <w:sz w:val="22"/>
          <w:szCs w:val="22"/>
        </w:rPr>
        <w:t>2-way ANOVA</w:t>
      </w:r>
      <w:r w:rsidR="000F4175">
        <w:rPr>
          <w:bCs/>
          <w:sz w:val="22"/>
          <w:szCs w:val="22"/>
        </w:rPr>
        <w:t>.</w:t>
      </w:r>
    </w:p>
    <w:sectPr w:rsidR="006156AF" w:rsidRPr="00413D58" w:rsidSect="0035049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F7AA1" w14:textId="77777777" w:rsidR="00780FAE" w:rsidRDefault="00780FAE" w:rsidP="00A46367">
      <w:r>
        <w:separator/>
      </w:r>
    </w:p>
  </w:endnote>
  <w:endnote w:type="continuationSeparator" w:id="0">
    <w:p w14:paraId="788C4AE8" w14:textId="77777777" w:rsidR="00780FAE" w:rsidRDefault="00780FAE" w:rsidP="00A4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0D6A3" w14:textId="77777777" w:rsidR="00780FAE" w:rsidRDefault="00780FAE" w:rsidP="00A46367">
      <w:r>
        <w:separator/>
      </w:r>
    </w:p>
  </w:footnote>
  <w:footnote w:type="continuationSeparator" w:id="0">
    <w:p w14:paraId="07E90A6B" w14:textId="77777777" w:rsidR="00780FAE" w:rsidRDefault="00780FAE" w:rsidP="00A46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C4"/>
    <w:rsid w:val="00035226"/>
    <w:rsid w:val="000A69B2"/>
    <w:rsid w:val="000D3AFD"/>
    <w:rsid w:val="000D6116"/>
    <w:rsid w:val="000E2ECF"/>
    <w:rsid w:val="000F4175"/>
    <w:rsid w:val="001061E5"/>
    <w:rsid w:val="0012670D"/>
    <w:rsid w:val="0015155A"/>
    <w:rsid w:val="001C52FD"/>
    <w:rsid w:val="001D25AD"/>
    <w:rsid w:val="00243D50"/>
    <w:rsid w:val="00255B44"/>
    <w:rsid w:val="00265ACD"/>
    <w:rsid w:val="002A335E"/>
    <w:rsid w:val="002A7003"/>
    <w:rsid w:val="002B707D"/>
    <w:rsid w:val="002C6A31"/>
    <w:rsid w:val="00327309"/>
    <w:rsid w:val="00331250"/>
    <w:rsid w:val="00344025"/>
    <w:rsid w:val="00350496"/>
    <w:rsid w:val="00351C25"/>
    <w:rsid w:val="00382ECB"/>
    <w:rsid w:val="003A02A4"/>
    <w:rsid w:val="003A0E92"/>
    <w:rsid w:val="003B1513"/>
    <w:rsid w:val="003C4CFD"/>
    <w:rsid w:val="003C7C96"/>
    <w:rsid w:val="003F5720"/>
    <w:rsid w:val="00403FE8"/>
    <w:rsid w:val="004044FA"/>
    <w:rsid w:val="004060B4"/>
    <w:rsid w:val="00413D58"/>
    <w:rsid w:val="00436F53"/>
    <w:rsid w:val="00456FCB"/>
    <w:rsid w:val="00463AAE"/>
    <w:rsid w:val="00476C6D"/>
    <w:rsid w:val="00495A41"/>
    <w:rsid w:val="004B074D"/>
    <w:rsid w:val="004C5D30"/>
    <w:rsid w:val="004E0263"/>
    <w:rsid w:val="004E446B"/>
    <w:rsid w:val="00541F97"/>
    <w:rsid w:val="00560CAC"/>
    <w:rsid w:val="005725CA"/>
    <w:rsid w:val="005A7344"/>
    <w:rsid w:val="005B37ED"/>
    <w:rsid w:val="005D0C58"/>
    <w:rsid w:val="006156AF"/>
    <w:rsid w:val="00617DF0"/>
    <w:rsid w:val="00674662"/>
    <w:rsid w:val="006928D5"/>
    <w:rsid w:val="006A5E84"/>
    <w:rsid w:val="006B6C78"/>
    <w:rsid w:val="006D71A3"/>
    <w:rsid w:val="006E624B"/>
    <w:rsid w:val="00707F86"/>
    <w:rsid w:val="00714E22"/>
    <w:rsid w:val="00721576"/>
    <w:rsid w:val="00722366"/>
    <w:rsid w:val="0075335E"/>
    <w:rsid w:val="007634C6"/>
    <w:rsid w:val="00773D9E"/>
    <w:rsid w:val="00775BF1"/>
    <w:rsid w:val="00780FAE"/>
    <w:rsid w:val="007B0A9D"/>
    <w:rsid w:val="007B1496"/>
    <w:rsid w:val="007D4E95"/>
    <w:rsid w:val="007E690F"/>
    <w:rsid w:val="007E7191"/>
    <w:rsid w:val="007F2B65"/>
    <w:rsid w:val="00803ECA"/>
    <w:rsid w:val="00833735"/>
    <w:rsid w:val="00854E88"/>
    <w:rsid w:val="008A1329"/>
    <w:rsid w:val="008D3579"/>
    <w:rsid w:val="008D4E7A"/>
    <w:rsid w:val="008E199F"/>
    <w:rsid w:val="00900F55"/>
    <w:rsid w:val="00941069"/>
    <w:rsid w:val="00945E06"/>
    <w:rsid w:val="009670FE"/>
    <w:rsid w:val="00994AEF"/>
    <w:rsid w:val="009A766B"/>
    <w:rsid w:val="009B5B22"/>
    <w:rsid w:val="009F2307"/>
    <w:rsid w:val="00A016D7"/>
    <w:rsid w:val="00A12C84"/>
    <w:rsid w:val="00A231DB"/>
    <w:rsid w:val="00A27BE3"/>
    <w:rsid w:val="00A36996"/>
    <w:rsid w:val="00A46367"/>
    <w:rsid w:val="00A53B63"/>
    <w:rsid w:val="00A677BC"/>
    <w:rsid w:val="00B23A82"/>
    <w:rsid w:val="00B2476F"/>
    <w:rsid w:val="00B26D7D"/>
    <w:rsid w:val="00B637E6"/>
    <w:rsid w:val="00B92954"/>
    <w:rsid w:val="00BA14EA"/>
    <w:rsid w:val="00BA7553"/>
    <w:rsid w:val="00BB3544"/>
    <w:rsid w:val="00BC756F"/>
    <w:rsid w:val="00BD39A2"/>
    <w:rsid w:val="00BE1378"/>
    <w:rsid w:val="00BF58F7"/>
    <w:rsid w:val="00C17D76"/>
    <w:rsid w:val="00C263C4"/>
    <w:rsid w:val="00C81D8C"/>
    <w:rsid w:val="00C95CDA"/>
    <w:rsid w:val="00CA380E"/>
    <w:rsid w:val="00CB3C8C"/>
    <w:rsid w:val="00CF3E67"/>
    <w:rsid w:val="00D00EE1"/>
    <w:rsid w:val="00D04074"/>
    <w:rsid w:val="00D059B9"/>
    <w:rsid w:val="00D23471"/>
    <w:rsid w:val="00D30AB8"/>
    <w:rsid w:val="00D30E71"/>
    <w:rsid w:val="00D37615"/>
    <w:rsid w:val="00D63750"/>
    <w:rsid w:val="00D70E31"/>
    <w:rsid w:val="00D8509A"/>
    <w:rsid w:val="00D97493"/>
    <w:rsid w:val="00DB30DC"/>
    <w:rsid w:val="00E5092C"/>
    <w:rsid w:val="00E5656A"/>
    <w:rsid w:val="00E76A01"/>
    <w:rsid w:val="00E7721F"/>
    <w:rsid w:val="00EB61F6"/>
    <w:rsid w:val="00EE6CC4"/>
    <w:rsid w:val="00F24797"/>
    <w:rsid w:val="00F3490C"/>
    <w:rsid w:val="00F648E8"/>
    <w:rsid w:val="00F67308"/>
    <w:rsid w:val="00F84469"/>
    <w:rsid w:val="00F8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D05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C4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63C4"/>
    <w:pPr>
      <w:spacing w:before="120"/>
      <w:ind w:firstLine="720"/>
    </w:pPr>
    <w:rPr>
      <w:rFonts w:eastAsia="Times New Roman"/>
    </w:rPr>
  </w:style>
  <w:style w:type="paragraph" w:customStyle="1" w:styleId="SOMHead">
    <w:name w:val="SOMHead"/>
    <w:basedOn w:val="Normal"/>
    <w:rsid w:val="00C263C4"/>
    <w:pPr>
      <w:keepNext/>
      <w:spacing w:before="240"/>
      <w:outlineLvl w:val="0"/>
    </w:pPr>
    <w:rPr>
      <w:rFonts w:eastAsia="Times New Roman"/>
      <w:b/>
      <w:kern w:val="28"/>
    </w:rPr>
  </w:style>
  <w:style w:type="paragraph" w:styleId="NormalWeb">
    <w:name w:val="Normal (Web)"/>
    <w:basedOn w:val="Normal"/>
    <w:uiPriority w:val="99"/>
    <w:semiHidden/>
    <w:unhideWhenUsed/>
    <w:rsid w:val="00C263C4"/>
    <w:pPr>
      <w:spacing w:before="100" w:beforeAutospacing="1" w:after="100" w:afterAutospacing="1"/>
    </w:pPr>
    <w:rPr>
      <w:rFonts w:ascii="Times" w:eastAsia="MS Mincho" w:hAnsi="Times"/>
    </w:rPr>
  </w:style>
  <w:style w:type="table" w:styleId="TableGrid">
    <w:name w:val="Table Grid"/>
    <w:basedOn w:val="TableNormal"/>
    <w:uiPriority w:val="39"/>
    <w:rsid w:val="00403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721576"/>
  </w:style>
  <w:style w:type="paragraph" w:styleId="BalloonText">
    <w:name w:val="Balloon Text"/>
    <w:basedOn w:val="Normal"/>
    <w:link w:val="BalloonTextChar"/>
    <w:uiPriority w:val="99"/>
    <w:semiHidden/>
    <w:unhideWhenUsed/>
    <w:rsid w:val="00560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AC"/>
    <w:rPr>
      <w:rFonts w:ascii="Lucida Grande" w:eastAsia="Calibr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56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6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6AF"/>
    <w:rPr>
      <w:rFonts w:ascii="Times New Roman" w:eastAsia="Calibr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6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6AF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63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367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63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367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3C4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63C4"/>
    <w:pPr>
      <w:spacing w:before="120"/>
      <w:ind w:firstLine="720"/>
    </w:pPr>
    <w:rPr>
      <w:rFonts w:eastAsia="Times New Roman"/>
    </w:rPr>
  </w:style>
  <w:style w:type="paragraph" w:customStyle="1" w:styleId="SOMHead">
    <w:name w:val="SOMHead"/>
    <w:basedOn w:val="Normal"/>
    <w:rsid w:val="00C263C4"/>
    <w:pPr>
      <w:keepNext/>
      <w:spacing w:before="240"/>
      <w:outlineLvl w:val="0"/>
    </w:pPr>
    <w:rPr>
      <w:rFonts w:eastAsia="Times New Roman"/>
      <w:b/>
      <w:kern w:val="28"/>
    </w:rPr>
  </w:style>
  <w:style w:type="paragraph" w:styleId="NormalWeb">
    <w:name w:val="Normal (Web)"/>
    <w:basedOn w:val="Normal"/>
    <w:uiPriority w:val="99"/>
    <w:semiHidden/>
    <w:unhideWhenUsed/>
    <w:rsid w:val="00C263C4"/>
    <w:pPr>
      <w:spacing w:before="100" w:beforeAutospacing="1" w:after="100" w:afterAutospacing="1"/>
    </w:pPr>
    <w:rPr>
      <w:rFonts w:ascii="Times" w:eastAsia="MS Mincho" w:hAnsi="Times"/>
    </w:rPr>
  </w:style>
  <w:style w:type="table" w:styleId="TableGrid">
    <w:name w:val="Table Grid"/>
    <w:basedOn w:val="TableNormal"/>
    <w:uiPriority w:val="39"/>
    <w:rsid w:val="00403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721576"/>
  </w:style>
  <w:style w:type="paragraph" w:styleId="BalloonText">
    <w:name w:val="Balloon Text"/>
    <w:basedOn w:val="Normal"/>
    <w:link w:val="BalloonTextChar"/>
    <w:uiPriority w:val="99"/>
    <w:semiHidden/>
    <w:unhideWhenUsed/>
    <w:rsid w:val="00560C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CAC"/>
    <w:rPr>
      <w:rFonts w:ascii="Lucida Grande" w:eastAsia="Calibri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56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6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6AF"/>
    <w:rPr>
      <w:rFonts w:ascii="Times New Roman" w:eastAsia="Calibri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6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6AF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63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367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63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36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9CB268-2A5A-634F-9F62-29E58719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Demaria</cp:lastModifiedBy>
  <cp:revision>2</cp:revision>
  <cp:lastPrinted>2020-05-29T18:28:00Z</cp:lastPrinted>
  <dcterms:created xsi:type="dcterms:W3CDTF">2020-05-29T18:29:00Z</dcterms:created>
  <dcterms:modified xsi:type="dcterms:W3CDTF">2020-05-29T18:29:00Z</dcterms:modified>
</cp:coreProperties>
</file>