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6C9" w:rsidRPr="0064332B" w:rsidRDefault="00A83110" w:rsidP="000336C9">
      <w:pPr>
        <w:spacing w:line="360" w:lineRule="auto"/>
        <w:jc w:val="both"/>
        <w:rPr>
          <w:rFonts w:ascii="Times" w:hAnsi="Times" w:cs="Calibri"/>
          <w:sz w:val="24"/>
          <w:szCs w:val="24"/>
          <w:lang w:val="en-US"/>
        </w:rPr>
      </w:pPr>
      <w:r>
        <w:rPr>
          <w:rFonts w:ascii="Times" w:hAnsi="Times"/>
          <w:b/>
          <w:noProof/>
          <w:sz w:val="24"/>
          <w:lang w:eastAsia="it-IT"/>
        </w:rPr>
        <w:drawing>
          <wp:inline distT="0" distB="0" distL="0" distR="0">
            <wp:extent cx="6120130" cy="5066665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. Figure 1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6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6C9" w:rsidRPr="000717D3">
        <w:rPr>
          <w:rFonts w:ascii="Times" w:hAnsi="Times"/>
          <w:b/>
          <w:sz w:val="24"/>
          <w:lang w:val="en-US"/>
        </w:rPr>
        <w:t>Supp. Fig. 1 ILC1 are enriched in tumor and lymph nodes of B16-F10-melanoma-bearing mice.</w:t>
      </w:r>
      <w:r w:rsidR="000336C9" w:rsidRPr="00D56381">
        <w:rPr>
          <w:rFonts w:ascii="Times" w:hAnsi="Times"/>
          <w:b/>
          <w:sz w:val="24"/>
          <w:lang w:val="en-US"/>
        </w:rPr>
        <w:t xml:space="preserve"> </w:t>
      </w:r>
      <w:r w:rsidR="000336C9" w:rsidRPr="00D56381">
        <w:rPr>
          <w:rFonts w:ascii="Times" w:hAnsi="Times"/>
          <w:sz w:val="24"/>
          <w:lang w:val="en-US"/>
        </w:rPr>
        <w:t>A) Representative examples of flow cytometry analysis of ILCs in littermate control (CTR) and melanoma-bearing mice</w:t>
      </w:r>
      <w:r w:rsidR="000336C9" w:rsidRPr="00172A51">
        <w:rPr>
          <w:rFonts w:ascii="Times" w:hAnsi="Times"/>
          <w:sz w:val="24"/>
          <w:lang w:val="en-US"/>
        </w:rPr>
        <w:t xml:space="preserve"> (B16) lymph nodes (LN). B) Frequencies of total ILCs identified as Lin</w:t>
      </w:r>
      <w:r w:rsidR="000336C9" w:rsidRPr="00DC0EC0">
        <w:rPr>
          <w:rFonts w:ascii="Times" w:hAnsi="Times"/>
          <w:sz w:val="24"/>
          <w:vertAlign w:val="superscript"/>
          <w:lang w:val="en-US"/>
        </w:rPr>
        <w:t>−</w:t>
      </w:r>
      <w:r w:rsidR="000336C9" w:rsidRPr="00DC0EC0">
        <w:rPr>
          <w:rFonts w:ascii="Times" w:hAnsi="Times"/>
          <w:sz w:val="24"/>
          <w:lang w:val="en-US"/>
        </w:rPr>
        <w:t>CD90.2</w:t>
      </w:r>
      <w:r w:rsidR="000336C9" w:rsidRPr="002267CC">
        <w:rPr>
          <w:rFonts w:ascii="Times" w:hAnsi="Times"/>
          <w:sz w:val="24"/>
          <w:vertAlign w:val="superscript"/>
          <w:lang w:val="en-US"/>
        </w:rPr>
        <w:t>+</w:t>
      </w:r>
      <w:r w:rsidR="000336C9" w:rsidRPr="002267CC">
        <w:rPr>
          <w:rFonts w:ascii="Times" w:hAnsi="Times"/>
          <w:sz w:val="24"/>
          <w:lang w:val="en-US"/>
        </w:rPr>
        <w:t xml:space="preserve"> cells in lymphocytes (n=6). C) Representative examples of flow cytometry analysis of ILC subsets in CTR and B16 LN. D</w:t>
      </w:r>
      <w:r w:rsidR="000336C9" w:rsidRPr="00B31581">
        <w:rPr>
          <w:rFonts w:ascii="Times" w:hAnsi="Times"/>
          <w:sz w:val="24"/>
          <w:lang w:val="en-US"/>
        </w:rPr>
        <w:t>,E) Absolute count measurements of ILCs in lymph nodes and  dissociated tumor of melanoma bearing mice.</w:t>
      </w:r>
    </w:p>
    <w:p w:rsidR="000336C9" w:rsidRPr="00DC7D4D" w:rsidRDefault="000336C9" w:rsidP="000336C9">
      <w:pPr>
        <w:spacing w:line="360" w:lineRule="auto"/>
        <w:jc w:val="both"/>
        <w:rPr>
          <w:rFonts w:ascii="Times" w:hAnsi="Times" w:cs="Calibri"/>
          <w:sz w:val="24"/>
          <w:szCs w:val="24"/>
          <w:lang w:val="en-US"/>
        </w:rPr>
      </w:pPr>
    </w:p>
    <w:p w:rsidR="000336C9" w:rsidRDefault="00A83110" w:rsidP="000336C9">
      <w:pPr>
        <w:spacing w:line="360" w:lineRule="auto"/>
        <w:jc w:val="both"/>
        <w:rPr>
          <w:rFonts w:ascii="Times" w:hAnsi="Times" w:cs="Calibri"/>
          <w:sz w:val="24"/>
          <w:szCs w:val="24"/>
          <w:lang w:val="en-US"/>
        </w:rPr>
      </w:pPr>
      <w:r>
        <w:rPr>
          <w:rFonts w:ascii="Times" w:hAnsi="Times" w:cs="Calibri"/>
          <w:b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20130" cy="3935730"/>
            <wp:effectExtent l="0" t="0" r="0" b="762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. Figure 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6C9" w:rsidRPr="00DC7D4D">
        <w:rPr>
          <w:rFonts w:ascii="Times" w:hAnsi="Times" w:cs="Calibri"/>
          <w:b/>
          <w:sz w:val="24"/>
          <w:szCs w:val="24"/>
          <w:lang w:val="en-US"/>
        </w:rPr>
        <w:t xml:space="preserve">Supp. Fig. </w:t>
      </w:r>
      <w:r w:rsidR="000336C9">
        <w:rPr>
          <w:rFonts w:ascii="Times" w:hAnsi="Times" w:cs="Calibri"/>
          <w:b/>
          <w:sz w:val="24"/>
          <w:szCs w:val="24"/>
          <w:lang w:val="en-US"/>
        </w:rPr>
        <w:t>2</w:t>
      </w:r>
      <w:r w:rsidR="000336C9" w:rsidRPr="00DC7D4D">
        <w:rPr>
          <w:rFonts w:ascii="Times" w:hAnsi="Times" w:cs="Calibri"/>
          <w:sz w:val="24"/>
          <w:szCs w:val="24"/>
          <w:lang w:val="en-US"/>
        </w:rPr>
        <w:t xml:space="preserve"> </w:t>
      </w:r>
      <w:r w:rsidR="000336C9" w:rsidRPr="00DC7D4D">
        <w:rPr>
          <w:rFonts w:ascii="Times" w:hAnsi="Times" w:cs="Calibri"/>
          <w:b/>
          <w:sz w:val="24"/>
          <w:szCs w:val="24"/>
          <w:lang w:val="en-US"/>
        </w:rPr>
        <w:t>IDO and A</w:t>
      </w:r>
      <w:r w:rsidR="000336C9">
        <w:rPr>
          <w:rFonts w:ascii="Times" w:hAnsi="Times" w:cs="Calibri"/>
          <w:b/>
          <w:sz w:val="24"/>
          <w:szCs w:val="24"/>
          <w:lang w:val="en-US"/>
        </w:rPr>
        <w:t>denosine-producing enzymes</w:t>
      </w:r>
      <w:r w:rsidR="000336C9" w:rsidRPr="00DC7D4D">
        <w:rPr>
          <w:rFonts w:ascii="Times" w:hAnsi="Times" w:cs="Calibri"/>
          <w:b/>
          <w:sz w:val="24"/>
          <w:szCs w:val="24"/>
          <w:lang w:val="en-US"/>
        </w:rPr>
        <w:t xml:space="preserve"> expression in human ILCs.</w:t>
      </w:r>
      <w:r w:rsidR="000336C9">
        <w:rPr>
          <w:rFonts w:ascii="Times" w:hAnsi="Times" w:cs="Calibri"/>
          <w:b/>
          <w:sz w:val="24"/>
          <w:szCs w:val="24"/>
          <w:lang w:val="en-US"/>
        </w:rPr>
        <w:t xml:space="preserve"> </w:t>
      </w:r>
      <w:r w:rsidR="000336C9" w:rsidRPr="000717D3">
        <w:rPr>
          <w:rFonts w:ascii="Times" w:hAnsi="Times" w:cs="Calibri"/>
          <w:sz w:val="24"/>
          <w:szCs w:val="24"/>
          <w:lang w:val="en-US"/>
        </w:rPr>
        <w:t>A)</w:t>
      </w:r>
      <w:r w:rsidR="000336C9">
        <w:rPr>
          <w:rFonts w:ascii="Times" w:hAnsi="Times" w:cs="Calibri"/>
          <w:b/>
          <w:sz w:val="24"/>
          <w:szCs w:val="24"/>
          <w:lang w:val="en-US"/>
        </w:rPr>
        <w:t xml:space="preserve"> </w:t>
      </w:r>
      <w:r w:rsidR="000336C9" w:rsidRPr="00613DD4">
        <w:rPr>
          <w:rFonts w:ascii="Times" w:hAnsi="Times" w:cs="Calibri"/>
          <w:sz w:val="24"/>
          <w:szCs w:val="24"/>
          <w:lang w:val="en-US"/>
        </w:rPr>
        <w:t>Representative examples of flow cytometry analysis of the expression of IDO in</w:t>
      </w:r>
      <w:r w:rsidR="000336C9">
        <w:rPr>
          <w:rFonts w:ascii="Times" w:hAnsi="Times" w:cs="Calibri"/>
          <w:sz w:val="24"/>
          <w:szCs w:val="24"/>
          <w:lang w:val="en-US"/>
        </w:rPr>
        <w:t xml:space="preserve"> ILC subsets</w:t>
      </w:r>
      <w:r w:rsidR="000336C9" w:rsidRPr="00613DD4">
        <w:rPr>
          <w:rFonts w:ascii="Times" w:hAnsi="Times" w:cs="Calibri"/>
          <w:sz w:val="24"/>
          <w:szCs w:val="24"/>
          <w:lang w:val="en-US"/>
        </w:rPr>
        <w:t xml:space="preserve">. B) Frequency of IDO-positive cells in </w:t>
      </w:r>
      <w:r w:rsidR="000336C9">
        <w:rPr>
          <w:rFonts w:ascii="Times" w:hAnsi="Times" w:cs="Calibri"/>
          <w:sz w:val="24"/>
          <w:szCs w:val="24"/>
          <w:lang w:val="en-US"/>
        </w:rPr>
        <w:t>ILCs subsets</w:t>
      </w:r>
      <w:r w:rsidR="000336C9" w:rsidRPr="004E1B1B">
        <w:rPr>
          <w:rFonts w:ascii="Times" w:hAnsi="Times" w:cs="Calibri"/>
          <w:sz w:val="24"/>
          <w:szCs w:val="24"/>
          <w:lang w:val="en-US"/>
        </w:rPr>
        <w:t xml:space="preserve"> (n=3). C</w:t>
      </w:r>
      <w:r w:rsidR="000336C9" w:rsidRPr="00613DD4">
        <w:rPr>
          <w:rFonts w:ascii="Times" w:hAnsi="Times" w:cs="Calibri"/>
          <w:sz w:val="24"/>
          <w:szCs w:val="24"/>
          <w:lang w:val="en-US"/>
        </w:rPr>
        <w:t xml:space="preserve">) </w:t>
      </w:r>
      <w:r w:rsidR="000336C9" w:rsidRPr="00C32DBA">
        <w:rPr>
          <w:rFonts w:ascii="Times" w:hAnsi="Times" w:cs="Calibri"/>
          <w:sz w:val="24"/>
          <w:szCs w:val="24"/>
          <w:lang w:val="en-US"/>
        </w:rPr>
        <w:t>Representative examples of flow cytometry analysis of the expression of</w:t>
      </w:r>
      <w:r w:rsidR="000336C9">
        <w:rPr>
          <w:rFonts w:ascii="Times" w:hAnsi="Times" w:cs="Calibri"/>
          <w:sz w:val="24"/>
          <w:szCs w:val="24"/>
          <w:lang w:val="en-US"/>
        </w:rPr>
        <w:t xml:space="preserve"> </w:t>
      </w:r>
      <w:r w:rsidR="000336C9" w:rsidRPr="00C32DBA">
        <w:rPr>
          <w:rFonts w:ascii="Times" w:hAnsi="Times" w:cs="Calibri"/>
          <w:sz w:val="24"/>
          <w:szCs w:val="24"/>
          <w:lang w:val="en-US"/>
        </w:rPr>
        <w:t>CD39 and CD73 adenosine-producing enzymes</w:t>
      </w:r>
      <w:r w:rsidR="000336C9">
        <w:rPr>
          <w:rFonts w:ascii="Times" w:hAnsi="Times" w:cs="Calibri"/>
          <w:sz w:val="24"/>
          <w:szCs w:val="24"/>
          <w:lang w:val="en-US"/>
        </w:rPr>
        <w:t xml:space="preserve"> </w:t>
      </w:r>
      <w:r w:rsidR="000336C9" w:rsidRPr="00C32DBA">
        <w:rPr>
          <w:rFonts w:ascii="Times" w:hAnsi="Times" w:cs="Calibri"/>
          <w:sz w:val="24"/>
          <w:szCs w:val="24"/>
          <w:lang w:val="en-US"/>
        </w:rPr>
        <w:t>in</w:t>
      </w:r>
      <w:r w:rsidR="000336C9">
        <w:rPr>
          <w:rFonts w:ascii="Times" w:hAnsi="Times" w:cs="Calibri"/>
          <w:sz w:val="24"/>
          <w:szCs w:val="24"/>
          <w:lang w:val="en-US"/>
        </w:rPr>
        <w:t xml:space="preserve"> ILC subsets</w:t>
      </w:r>
      <w:r w:rsidR="000336C9" w:rsidRPr="00C32DBA">
        <w:rPr>
          <w:rFonts w:ascii="Times" w:hAnsi="Times" w:cs="Calibri"/>
          <w:sz w:val="24"/>
          <w:szCs w:val="24"/>
          <w:lang w:val="en-US"/>
        </w:rPr>
        <w:t>. D)</w:t>
      </w:r>
      <w:r w:rsidR="000336C9">
        <w:rPr>
          <w:rFonts w:ascii="Times" w:hAnsi="Times" w:cs="Calibri"/>
          <w:sz w:val="24"/>
          <w:szCs w:val="24"/>
          <w:lang w:val="en-US"/>
        </w:rPr>
        <w:t xml:space="preserve"> </w:t>
      </w:r>
      <w:r w:rsidR="000336C9" w:rsidRPr="00C32DBA">
        <w:rPr>
          <w:rFonts w:ascii="Times" w:hAnsi="Times" w:cs="Calibri"/>
          <w:sz w:val="24"/>
          <w:szCs w:val="24"/>
          <w:lang w:val="en-US"/>
        </w:rPr>
        <w:t xml:space="preserve">Frequency of CD39 and CD73-positive cells in </w:t>
      </w:r>
      <w:r w:rsidR="000336C9">
        <w:rPr>
          <w:rFonts w:ascii="Times" w:hAnsi="Times" w:cs="Calibri"/>
          <w:sz w:val="24"/>
          <w:szCs w:val="24"/>
          <w:lang w:val="en-US"/>
        </w:rPr>
        <w:t>ILC subsets (n=5</w:t>
      </w:r>
      <w:r w:rsidR="000336C9" w:rsidRPr="00C32DBA">
        <w:rPr>
          <w:rFonts w:ascii="Times" w:hAnsi="Times" w:cs="Calibri"/>
          <w:sz w:val="24"/>
          <w:szCs w:val="24"/>
          <w:lang w:val="en-US"/>
        </w:rPr>
        <w:t>).</w:t>
      </w:r>
    </w:p>
    <w:p w:rsidR="000336C9" w:rsidRDefault="000336C9" w:rsidP="000336C9">
      <w:pPr>
        <w:spacing w:line="360" w:lineRule="auto"/>
        <w:jc w:val="both"/>
        <w:rPr>
          <w:rFonts w:ascii="Times" w:hAnsi="Times" w:cs="Calibri"/>
          <w:sz w:val="24"/>
          <w:szCs w:val="24"/>
          <w:lang w:val="en-US"/>
        </w:rPr>
      </w:pPr>
    </w:p>
    <w:p w:rsidR="000336C9" w:rsidRPr="00613DD4" w:rsidRDefault="00A83110" w:rsidP="000336C9">
      <w:pPr>
        <w:spacing w:line="360" w:lineRule="auto"/>
        <w:jc w:val="both"/>
        <w:rPr>
          <w:rFonts w:ascii="Times" w:hAnsi="Times" w:cs="Calibri"/>
          <w:sz w:val="24"/>
          <w:szCs w:val="24"/>
          <w:lang w:val="en-US"/>
        </w:rPr>
      </w:pPr>
      <w:bookmarkStart w:id="0" w:name="_GoBack"/>
      <w:r>
        <w:rPr>
          <w:rFonts w:ascii="Times" w:hAnsi="Times" w:cs="Calibri"/>
          <w:b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20130" cy="3732530"/>
            <wp:effectExtent l="0" t="0" r="0" b="127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. Figure 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0336C9" w:rsidRPr="00DC7D4D">
        <w:rPr>
          <w:rFonts w:ascii="Times" w:hAnsi="Times" w:cs="Calibri"/>
          <w:b/>
          <w:sz w:val="24"/>
          <w:szCs w:val="24"/>
          <w:lang w:val="en-US"/>
        </w:rPr>
        <w:t xml:space="preserve">Supp. Fig. </w:t>
      </w:r>
      <w:r w:rsidR="000336C9">
        <w:rPr>
          <w:rFonts w:ascii="Times" w:hAnsi="Times" w:cs="Calibri"/>
          <w:b/>
          <w:sz w:val="24"/>
          <w:szCs w:val="24"/>
          <w:lang w:val="en-US"/>
        </w:rPr>
        <w:t>3</w:t>
      </w:r>
      <w:r w:rsidR="000336C9" w:rsidRPr="00DC7D4D">
        <w:rPr>
          <w:rFonts w:ascii="Times" w:hAnsi="Times" w:cs="Calibri"/>
          <w:sz w:val="24"/>
          <w:szCs w:val="24"/>
          <w:lang w:val="en-US"/>
        </w:rPr>
        <w:t xml:space="preserve"> </w:t>
      </w:r>
      <w:r w:rsidR="000336C9" w:rsidRPr="00DC7D4D">
        <w:rPr>
          <w:rFonts w:ascii="Times" w:hAnsi="Times" w:cs="Calibri"/>
          <w:b/>
          <w:sz w:val="24"/>
          <w:szCs w:val="24"/>
          <w:lang w:val="en-US"/>
        </w:rPr>
        <w:t xml:space="preserve">IDO expression in human </w:t>
      </w:r>
      <w:r w:rsidR="000336C9">
        <w:rPr>
          <w:rFonts w:ascii="Times" w:hAnsi="Times" w:cs="Calibri"/>
          <w:b/>
          <w:sz w:val="24"/>
          <w:szCs w:val="24"/>
          <w:lang w:val="en-US"/>
        </w:rPr>
        <w:t>melanoma cells and its effect on ILCs</w:t>
      </w:r>
      <w:r w:rsidR="000336C9" w:rsidRPr="00DC7D4D">
        <w:rPr>
          <w:rFonts w:ascii="Times" w:hAnsi="Times" w:cs="Calibri"/>
          <w:b/>
          <w:sz w:val="24"/>
          <w:szCs w:val="24"/>
          <w:lang w:val="en-US"/>
        </w:rPr>
        <w:t>.</w:t>
      </w:r>
      <w:r w:rsidR="000336C9">
        <w:rPr>
          <w:rFonts w:ascii="Times" w:hAnsi="Times" w:cs="Calibri"/>
          <w:b/>
          <w:sz w:val="24"/>
          <w:szCs w:val="24"/>
          <w:lang w:val="en-US"/>
        </w:rPr>
        <w:t xml:space="preserve"> </w:t>
      </w:r>
      <w:r w:rsidR="000336C9" w:rsidRPr="000717D3">
        <w:rPr>
          <w:rFonts w:ascii="Times" w:hAnsi="Times" w:cs="Calibri"/>
          <w:sz w:val="24"/>
          <w:szCs w:val="24"/>
          <w:lang w:val="en-US"/>
        </w:rPr>
        <w:t>A)</w:t>
      </w:r>
      <w:r w:rsidR="000336C9">
        <w:rPr>
          <w:rFonts w:ascii="Times" w:hAnsi="Times" w:cs="Calibri"/>
          <w:b/>
          <w:sz w:val="24"/>
          <w:szCs w:val="24"/>
          <w:lang w:val="en-US"/>
        </w:rPr>
        <w:t xml:space="preserve"> </w:t>
      </w:r>
      <w:r w:rsidR="000336C9">
        <w:rPr>
          <w:rFonts w:ascii="Times" w:hAnsi="Times" w:cs="Calibri"/>
          <w:sz w:val="24"/>
          <w:szCs w:val="24"/>
          <w:lang w:val="en-US"/>
        </w:rPr>
        <w:t>Quantification of IDO by flow cytometry in untransduced and transduced</w:t>
      </w:r>
      <w:r w:rsidR="000336C9" w:rsidRPr="00613DD4">
        <w:rPr>
          <w:rFonts w:ascii="Times" w:hAnsi="Times" w:cs="Calibri"/>
          <w:sz w:val="24"/>
          <w:szCs w:val="24"/>
          <w:lang w:val="en-US"/>
        </w:rPr>
        <w:t xml:space="preserve"> </w:t>
      </w:r>
      <w:r w:rsidR="000336C9">
        <w:rPr>
          <w:rFonts w:ascii="Times" w:hAnsi="Times" w:cs="Calibri"/>
          <w:sz w:val="24"/>
          <w:szCs w:val="24"/>
          <w:lang w:val="en-US"/>
        </w:rPr>
        <w:t>Me275 melanoma cells. Similar results were obtained after treatment by IFN-</w:t>
      </w:r>
      <w:r w:rsidR="000336C9" w:rsidRPr="00952EEB">
        <w:rPr>
          <w:rFonts w:ascii="Symbol" w:hAnsi="Symbol" w:cs="Calibri"/>
          <w:sz w:val="24"/>
          <w:szCs w:val="24"/>
          <w:lang w:val="en-US"/>
        </w:rPr>
        <w:t></w:t>
      </w:r>
      <w:r w:rsidR="000336C9">
        <w:rPr>
          <w:rFonts w:ascii="Times" w:hAnsi="Times" w:cs="Calibri"/>
          <w:sz w:val="24"/>
          <w:szCs w:val="24"/>
          <w:lang w:val="en-US"/>
        </w:rPr>
        <w:t>. B) Quantification</w:t>
      </w:r>
      <w:r w:rsidR="000336C9" w:rsidRPr="00DC7D4D">
        <w:rPr>
          <w:rFonts w:ascii="Times" w:hAnsi="Times" w:cs="Calibri"/>
          <w:sz w:val="24"/>
          <w:szCs w:val="24"/>
          <w:lang w:val="en-US"/>
        </w:rPr>
        <w:t xml:space="preserve"> of k</w:t>
      </w:r>
      <w:r w:rsidR="000336C9">
        <w:rPr>
          <w:rFonts w:ascii="Times" w:hAnsi="Times" w:cs="Calibri"/>
          <w:sz w:val="24"/>
          <w:szCs w:val="24"/>
          <w:lang w:val="en-US"/>
        </w:rPr>
        <w:t>y</w:t>
      </w:r>
      <w:r w:rsidR="000336C9" w:rsidRPr="00DC7D4D">
        <w:rPr>
          <w:rFonts w:ascii="Times" w:hAnsi="Times" w:cs="Calibri"/>
          <w:sz w:val="24"/>
          <w:szCs w:val="24"/>
          <w:lang w:val="en-US"/>
        </w:rPr>
        <w:t>nurenine</w:t>
      </w:r>
      <w:r w:rsidR="000336C9">
        <w:rPr>
          <w:rFonts w:ascii="Times" w:hAnsi="Times" w:cs="Calibri"/>
          <w:sz w:val="24"/>
          <w:szCs w:val="24"/>
          <w:lang w:val="en-US"/>
        </w:rPr>
        <w:t>s</w:t>
      </w:r>
      <w:r w:rsidR="000336C9" w:rsidRPr="00DC7D4D">
        <w:rPr>
          <w:rFonts w:ascii="Times" w:hAnsi="Times" w:cs="Calibri"/>
          <w:sz w:val="24"/>
          <w:szCs w:val="24"/>
          <w:lang w:val="en-US"/>
        </w:rPr>
        <w:t xml:space="preserve"> in the supernatant </w:t>
      </w:r>
      <w:r w:rsidR="000336C9">
        <w:rPr>
          <w:rFonts w:ascii="Times" w:hAnsi="Times" w:cs="Calibri"/>
          <w:sz w:val="24"/>
          <w:szCs w:val="24"/>
          <w:lang w:val="en-US"/>
        </w:rPr>
        <w:t xml:space="preserve">of untransduced and IDO-transduced Me275 melanoma cells. C) </w:t>
      </w:r>
      <w:r w:rsidR="000336C9" w:rsidRPr="00DC7D4D">
        <w:rPr>
          <w:rFonts w:ascii="Times" w:hAnsi="Times" w:cs="Calibri"/>
          <w:sz w:val="24"/>
          <w:szCs w:val="24"/>
          <w:lang w:val="en-US"/>
        </w:rPr>
        <w:t xml:space="preserve">Frequencies of </w:t>
      </w:r>
      <w:r w:rsidR="000336C9">
        <w:rPr>
          <w:rFonts w:ascii="Times" w:hAnsi="Times" w:cs="Calibri"/>
          <w:sz w:val="24"/>
          <w:szCs w:val="24"/>
          <w:lang w:val="en-US"/>
        </w:rPr>
        <w:t xml:space="preserve">total </w:t>
      </w:r>
      <w:r w:rsidR="000336C9" w:rsidRPr="00DC7D4D">
        <w:rPr>
          <w:rFonts w:ascii="Times" w:hAnsi="Times" w:cs="Calibri"/>
          <w:sz w:val="24"/>
          <w:szCs w:val="24"/>
          <w:lang w:val="en-US"/>
        </w:rPr>
        <w:t>ILC</w:t>
      </w:r>
      <w:r w:rsidR="000336C9">
        <w:rPr>
          <w:rFonts w:ascii="Times" w:hAnsi="Times" w:cs="Calibri"/>
          <w:sz w:val="24"/>
          <w:szCs w:val="24"/>
          <w:lang w:val="en-US"/>
        </w:rPr>
        <w:t>s and D) ILC</w:t>
      </w:r>
      <w:r w:rsidR="000336C9" w:rsidRPr="00DC7D4D">
        <w:rPr>
          <w:rFonts w:ascii="Times" w:hAnsi="Times" w:cs="Calibri"/>
          <w:sz w:val="24"/>
          <w:szCs w:val="24"/>
          <w:lang w:val="en-US"/>
        </w:rPr>
        <w:t xml:space="preserve"> subsets after </w:t>
      </w:r>
      <w:r w:rsidR="000336C9">
        <w:rPr>
          <w:rFonts w:ascii="Times" w:hAnsi="Times" w:cs="Calibri"/>
          <w:sz w:val="24"/>
          <w:szCs w:val="24"/>
          <w:lang w:val="en-US"/>
        </w:rPr>
        <w:t xml:space="preserve">culture of PBMCs in medium only, or after co-culture with untransduced (+Me275) or IDO-transduced Me275 melanoma cells (+Me275 IDO) for 48h (n=4). E) </w:t>
      </w:r>
      <w:r w:rsidR="000336C9" w:rsidRPr="00DC7D4D">
        <w:rPr>
          <w:rFonts w:ascii="Times" w:hAnsi="Times" w:cs="Calibri"/>
          <w:sz w:val="24"/>
          <w:szCs w:val="24"/>
          <w:lang w:val="en-US"/>
        </w:rPr>
        <w:t>Frequencies of IFN-</w:t>
      </w:r>
      <w:r w:rsidR="000336C9" w:rsidRPr="00DC7D4D">
        <w:rPr>
          <w:rFonts w:ascii="Times" w:hAnsi="Times" w:cs="Times"/>
          <w:sz w:val="24"/>
          <w:szCs w:val="24"/>
          <w:lang w:val="en-US"/>
        </w:rPr>
        <w:t>γ</w:t>
      </w:r>
      <w:r w:rsidR="000336C9" w:rsidRPr="00DC7D4D">
        <w:rPr>
          <w:rFonts w:ascii="Times" w:hAnsi="Times" w:cs="Times"/>
          <w:sz w:val="24"/>
          <w:szCs w:val="24"/>
          <w:vertAlign w:val="superscript"/>
          <w:lang w:val="en-US"/>
        </w:rPr>
        <w:t>+</w:t>
      </w:r>
      <w:r w:rsidR="000336C9" w:rsidRPr="00DC7D4D">
        <w:rPr>
          <w:rFonts w:ascii="Times" w:hAnsi="Times" w:cs="Times"/>
          <w:sz w:val="24"/>
          <w:szCs w:val="24"/>
          <w:lang w:val="en-US"/>
        </w:rPr>
        <w:t xml:space="preserve"> and TNF-α</w:t>
      </w:r>
      <w:r w:rsidR="000336C9" w:rsidRPr="00DC7D4D">
        <w:rPr>
          <w:rFonts w:ascii="Times" w:hAnsi="Times" w:cs="Times"/>
          <w:sz w:val="24"/>
          <w:szCs w:val="24"/>
          <w:vertAlign w:val="superscript"/>
          <w:lang w:val="en-US"/>
        </w:rPr>
        <w:t>+</w:t>
      </w:r>
      <w:r w:rsidR="000336C9" w:rsidRPr="00DC7D4D">
        <w:rPr>
          <w:rFonts w:ascii="Times" w:hAnsi="Times" w:cs="Times"/>
          <w:sz w:val="24"/>
          <w:szCs w:val="24"/>
          <w:lang w:val="en-US"/>
        </w:rPr>
        <w:t xml:space="preserve"> </w:t>
      </w:r>
      <w:r w:rsidR="000336C9">
        <w:rPr>
          <w:rFonts w:ascii="Times" w:hAnsi="Times" w:cs="Times"/>
          <w:sz w:val="24"/>
          <w:szCs w:val="24"/>
          <w:lang w:val="en-US"/>
        </w:rPr>
        <w:t xml:space="preserve">in </w:t>
      </w:r>
      <w:r w:rsidR="000336C9" w:rsidRPr="00DC7D4D">
        <w:rPr>
          <w:rFonts w:ascii="Times" w:hAnsi="Times" w:cs="Times"/>
          <w:sz w:val="24"/>
          <w:szCs w:val="24"/>
          <w:lang w:val="en-US"/>
        </w:rPr>
        <w:t xml:space="preserve">total ILCs </w:t>
      </w:r>
      <w:r w:rsidR="000336C9" w:rsidRPr="00DC7D4D">
        <w:rPr>
          <w:rFonts w:ascii="Times" w:hAnsi="Times" w:cs="Calibri"/>
          <w:sz w:val="24"/>
          <w:szCs w:val="24"/>
          <w:lang w:val="en-US"/>
        </w:rPr>
        <w:t xml:space="preserve">after </w:t>
      </w:r>
      <w:r w:rsidR="000336C9">
        <w:rPr>
          <w:rFonts w:ascii="Times" w:hAnsi="Times" w:cs="Calibri"/>
          <w:sz w:val="24"/>
          <w:szCs w:val="24"/>
          <w:lang w:val="en-US"/>
        </w:rPr>
        <w:t xml:space="preserve">culture of PBMCs in medium only, or after co-culture with untransduced (+Me275) or IDO-transduced Me275 melanoma cells (+Me275 IDO) for 48h (n=2). </w:t>
      </w:r>
    </w:p>
    <w:p w:rsidR="00D742B5" w:rsidRPr="000336C9" w:rsidRDefault="00D742B5">
      <w:pPr>
        <w:rPr>
          <w:lang w:val="en-US"/>
        </w:rPr>
      </w:pPr>
    </w:p>
    <w:sectPr w:rsidR="00D742B5" w:rsidRPr="000336C9" w:rsidSect="0022481B">
      <w:footerReference w:type="even" r:id="rId9"/>
      <w:footerReference w:type="default" r:id="rId10"/>
      <w:pgSz w:w="11906" w:h="16838"/>
      <w:pgMar w:top="1417" w:right="1134" w:bottom="1134" w:left="1134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716C" w:rsidRDefault="002F716C">
      <w:pPr>
        <w:spacing w:after="0" w:line="240" w:lineRule="auto"/>
      </w:pPr>
      <w:r>
        <w:separator/>
      </w:r>
    </w:p>
  </w:endnote>
  <w:endnote w:type="continuationSeparator" w:id="0">
    <w:p w:rsidR="002F716C" w:rsidRDefault="002F7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B1B" w:rsidRDefault="000336C9" w:rsidP="00D6024A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end"/>
    </w:r>
  </w:p>
  <w:p w:rsidR="004E1B1B" w:rsidRDefault="002F716C" w:rsidP="00A4299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B1B" w:rsidRDefault="000336C9" w:rsidP="00D6024A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A83110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4E1B1B" w:rsidRDefault="002F716C" w:rsidP="00A42999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716C" w:rsidRDefault="002F716C">
      <w:pPr>
        <w:spacing w:after="0" w:line="240" w:lineRule="auto"/>
      </w:pPr>
      <w:r>
        <w:separator/>
      </w:r>
    </w:p>
  </w:footnote>
  <w:footnote w:type="continuationSeparator" w:id="0">
    <w:p w:rsidR="002F716C" w:rsidRDefault="002F71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6C9"/>
    <w:rsid w:val="000336C9"/>
    <w:rsid w:val="002F716C"/>
    <w:rsid w:val="00A83110"/>
    <w:rsid w:val="00D74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087C25-540A-4308-98F9-4375F0A57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336C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0336C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36C9"/>
    <w:rPr>
      <w:rFonts w:ascii="Calibri" w:eastAsia="Calibri" w:hAnsi="Calibri" w:cs="Times New Roman"/>
    </w:rPr>
  </w:style>
  <w:style w:type="character" w:styleId="Numeropagina">
    <w:name w:val="page number"/>
    <w:uiPriority w:val="99"/>
    <w:semiHidden/>
    <w:unhideWhenUsed/>
    <w:rsid w:val="000336C9"/>
  </w:style>
  <w:style w:type="character" w:styleId="Numeroriga">
    <w:name w:val="line number"/>
    <w:basedOn w:val="Carpredefinitoparagrafo"/>
    <w:uiPriority w:val="99"/>
    <w:semiHidden/>
    <w:unhideWhenUsed/>
    <w:rsid w:val="000336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Giuseppe</dc:creator>
  <cp:keywords/>
  <dc:description/>
  <cp:lastModifiedBy>Giuseppe</cp:lastModifiedBy>
  <cp:revision>2</cp:revision>
  <dcterms:created xsi:type="dcterms:W3CDTF">2020-01-09T18:12:00Z</dcterms:created>
  <dcterms:modified xsi:type="dcterms:W3CDTF">2020-01-09T18:12:00Z</dcterms:modified>
</cp:coreProperties>
</file>