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D23CF" w14:textId="29A1EF1E" w:rsidR="00E25079" w:rsidRDefault="00E25079" w:rsidP="00E14D12">
      <w:pPr>
        <w:pStyle w:val="SOMHead"/>
        <w:jc w:val="both"/>
      </w:pPr>
      <w:r>
        <w:t>Supplementary Materials:</w:t>
      </w:r>
    </w:p>
    <w:p w14:paraId="56238C12" w14:textId="7176650E" w:rsidR="00E25079" w:rsidRDefault="00E14D12" w:rsidP="00E25079">
      <w:pPr>
        <w:jc w:val="both"/>
      </w:pPr>
      <w:r>
        <w:rPr>
          <w:noProof/>
        </w:rPr>
        <w:drawing>
          <wp:inline distT="0" distB="0" distL="0" distR="0" wp14:anchorId="660FBCCD" wp14:editId="7A22046F">
            <wp:extent cx="5943600" cy="5756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bmission CIR Sup Figur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756910"/>
                    </a:xfrm>
                    <a:prstGeom prst="rect">
                      <a:avLst/>
                    </a:prstGeom>
                  </pic:spPr>
                </pic:pic>
              </a:graphicData>
            </a:graphic>
          </wp:inline>
        </w:drawing>
      </w:r>
    </w:p>
    <w:p w14:paraId="2CC18082" w14:textId="77777777" w:rsidR="00E25079" w:rsidRPr="005B3E23" w:rsidRDefault="00E25079" w:rsidP="00E25079">
      <w:pPr>
        <w:jc w:val="both"/>
        <w:rPr>
          <w:b/>
          <w:bCs/>
          <w:sz w:val="24"/>
        </w:rPr>
      </w:pPr>
      <w:r w:rsidRPr="005B3E23">
        <w:rPr>
          <w:b/>
          <w:bCs/>
          <w:sz w:val="24"/>
          <w:szCs w:val="24"/>
        </w:rPr>
        <w:t xml:space="preserve">Supplementary Figure 1. Further characterization of human SIRPα-Fc-CD40L and the murine </w:t>
      </w:r>
      <w:proofErr w:type="spellStart"/>
      <w:r w:rsidRPr="005B3E23">
        <w:rPr>
          <w:b/>
          <w:bCs/>
          <w:sz w:val="24"/>
          <w:szCs w:val="24"/>
        </w:rPr>
        <w:t>m</w:t>
      </w:r>
      <w:r w:rsidRPr="005B3E23">
        <w:rPr>
          <w:b/>
          <w:bCs/>
          <w:sz w:val="24"/>
        </w:rPr>
        <w:t>SIRP</w:t>
      </w:r>
      <w:proofErr w:type="spellEnd"/>
      <w:r w:rsidRPr="005B3E23">
        <w:rPr>
          <w:b/>
          <w:bCs/>
          <w:sz w:val="24"/>
        </w:rPr>
        <w:t>α-Fc-CD40L surrogate.</w:t>
      </w:r>
    </w:p>
    <w:p w14:paraId="166BB945" w14:textId="2CD398B8" w:rsidR="00E25079" w:rsidRDefault="00E25079" w:rsidP="00E25079">
      <w:pPr>
        <w:jc w:val="both"/>
        <w:rPr>
          <w:sz w:val="24"/>
        </w:rPr>
      </w:pPr>
      <w:r>
        <w:rPr>
          <w:sz w:val="24"/>
        </w:rPr>
        <w:t xml:space="preserve">(A) Single-sided ELISA detection of </w:t>
      </w:r>
      <w:proofErr w:type="spellStart"/>
      <w:r w:rsidR="006D5770">
        <w:rPr>
          <w:sz w:val="24"/>
        </w:rPr>
        <w:t>h</w:t>
      </w:r>
      <w:r>
        <w:rPr>
          <w:sz w:val="24"/>
        </w:rPr>
        <w:t>SIRP</w:t>
      </w:r>
      <w:proofErr w:type="spellEnd"/>
      <w:r w:rsidRPr="00730A3E">
        <w:rPr>
          <w:sz w:val="24"/>
        </w:rPr>
        <w:t>α</w:t>
      </w:r>
      <w:r>
        <w:rPr>
          <w:sz w:val="24"/>
        </w:rPr>
        <w:t xml:space="preserve">-Fc-CD40L using recombinant Fc, CD47, and CD40 capture. </w:t>
      </w:r>
    </w:p>
    <w:p w14:paraId="3DAF4ED4" w14:textId="4C96873C" w:rsidR="00E25079" w:rsidRDefault="00E25079" w:rsidP="00E25079">
      <w:pPr>
        <w:jc w:val="both"/>
        <w:rPr>
          <w:sz w:val="24"/>
        </w:rPr>
      </w:pPr>
      <w:r>
        <w:rPr>
          <w:sz w:val="24"/>
          <w:szCs w:val="24"/>
        </w:rPr>
        <w:t xml:space="preserve">(B) Verification of human CD47 and human CD40 expression in CHO-K1 cells used to assess binding to </w:t>
      </w:r>
      <w:proofErr w:type="spellStart"/>
      <w:r w:rsidR="006D5770">
        <w:rPr>
          <w:sz w:val="24"/>
          <w:szCs w:val="24"/>
        </w:rPr>
        <w:t>h</w:t>
      </w:r>
      <w:r>
        <w:rPr>
          <w:sz w:val="24"/>
        </w:rPr>
        <w:t>SIRP</w:t>
      </w:r>
      <w:proofErr w:type="spellEnd"/>
      <w:r w:rsidRPr="00730A3E">
        <w:rPr>
          <w:sz w:val="24"/>
        </w:rPr>
        <w:t>α</w:t>
      </w:r>
      <w:r>
        <w:rPr>
          <w:sz w:val="24"/>
        </w:rPr>
        <w:t>-Fc-CD40L.</w:t>
      </w:r>
    </w:p>
    <w:p w14:paraId="3D4A7F91" w14:textId="435D9546" w:rsidR="00E14D12" w:rsidRDefault="00E25079" w:rsidP="00E25079">
      <w:pPr>
        <w:jc w:val="both"/>
        <w:rPr>
          <w:sz w:val="24"/>
        </w:rPr>
      </w:pPr>
      <w:r>
        <w:rPr>
          <w:sz w:val="24"/>
        </w:rPr>
        <w:t xml:space="preserve">(C) </w:t>
      </w:r>
      <w:r w:rsidR="00E14D12">
        <w:rPr>
          <w:sz w:val="24"/>
        </w:rPr>
        <w:t>Example flow cytometry gating from Figure 1E, depicting binding of SIRP</w:t>
      </w:r>
      <w:r w:rsidR="00E14D12" w:rsidRPr="00E14D12">
        <w:rPr>
          <w:rFonts w:ascii="Symbol" w:hAnsi="Symbol"/>
          <w:sz w:val="24"/>
        </w:rPr>
        <w:t></w:t>
      </w:r>
      <w:r w:rsidR="00E14D12">
        <w:rPr>
          <w:sz w:val="24"/>
        </w:rPr>
        <w:t xml:space="preserve">-Fc-CD40L to CHO-K1 parental cells, or CHO-K1 cells engineered to overexpress human CD47 or CD40. </w:t>
      </w:r>
      <w:r w:rsidR="007A1DB0">
        <w:rPr>
          <w:sz w:val="24"/>
        </w:rPr>
        <w:t xml:space="preserve">In this example, cells were incubated with 10 </w:t>
      </w:r>
      <w:r w:rsidR="007A1DB0" w:rsidRPr="007A1DB0">
        <w:rPr>
          <w:rFonts w:ascii="Symbol" w:hAnsi="Symbol"/>
          <w:sz w:val="24"/>
        </w:rPr>
        <w:t></w:t>
      </w:r>
      <w:r w:rsidR="007A1DB0">
        <w:rPr>
          <w:sz w:val="24"/>
        </w:rPr>
        <w:t>g/mL of human SIRP</w:t>
      </w:r>
      <w:r w:rsidR="007A1DB0" w:rsidRPr="00E14D12">
        <w:rPr>
          <w:rFonts w:ascii="Symbol" w:hAnsi="Symbol"/>
          <w:sz w:val="24"/>
        </w:rPr>
        <w:t></w:t>
      </w:r>
      <w:r w:rsidR="007A1DB0">
        <w:rPr>
          <w:sz w:val="24"/>
        </w:rPr>
        <w:t xml:space="preserve">-Fc-CD40L. To generate the binding curves in Figure 1E, cells were </w:t>
      </w:r>
      <w:proofErr w:type="gramStart"/>
      <w:r w:rsidR="007A1DB0">
        <w:rPr>
          <w:sz w:val="24"/>
        </w:rPr>
        <w:t>incubate</w:t>
      </w:r>
      <w:proofErr w:type="gramEnd"/>
      <w:r w:rsidR="007A1DB0">
        <w:rPr>
          <w:sz w:val="24"/>
        </w:rPr>
        <w:t xml:space="preserve"> with a dose titration of SIRP</w:t>
      </w:r>
      <w:r w:rsidR="007A1DB0" w:rsidRPr="00E14D12">
        <w:rPr>
          <w:rFonts w:ascii="Symbol" w:hAnsi="Symbol"/>
          <w:sz w:val="24"/>
        </w:rPr>
        <w:t></w:t>
      </w:r>
      <w:r w:rsidR="007A1DB0">
        <w:rPr>
          <w:sz w:val="24"/>
        </w:rPr>
        <w:t>-Fc-CD40L.</w:t>
      </w:r>
    </w:p>
    <w:p w14:paraId="096FEECA" w14:textId="342666F8" w:rsidR="00E25079" w:rsidRDefault="00E14D12" w:rsidP="00E25079">
      <w:pPr>
        <w:jc w:val="both"/>
        <w:rPr>
          <w:sz w:val="24"/>
        </w:rPr>
      </w:pPr>
      <w:r>
        <w:rPr>
          <w:sz w:val="24"/>
        </w:rPr>
        <w:t xml:space="preserve">(D) </w:t>
      </w:r>
      <w:r w:rsidR="00E25079">
        <w:rPr>
          <w:sz w:val="24"/>
        </w:rPr>
        <w:t>Western blot analysis of the murine SIRP</w:t>
      </w:r>
      <w:r w:rsidR="00E25079" w:rsidRPr="00730A3E">
        <w:rPr>
          <w:sz w:val="24"/>
        </w:rPr>
        <w:t>α</w:t>
      </w:r>
      <w:r w:rsidR="00E25079">
        <w:rPr>
          <w:sz w:val="24"/>
        </w:rPr>
        <w:t xml:space="preserve">-Fc-CD40L surrogate with antibodies detecting </w:t>
      </w:r>
      <w:proofErr w:type="spellStart"/>
      <w:r w:rsidR="00E25079">
        <w:rPr>
          <w:sz w:val="24"/>
        </w:rPr>
        <w:t>mSIRP</w:t>
      </w:r>
      <w:proofErr w:type="spellEnd"/>
      <w:r w:rsidR="00E25079" w:rsidRPr="00730A3E">
        <w:rPr>
          <w:sz w:val="24"/>
        </w:rPr>
        <w:t>α</w:t>
      </w:r>
      <w:r w:rsidR="00E25079">
        <w:rPr>
          <w:sz w:val="24"/>
        </w:rPr>
        <w:t xml:space="preserve">, </w:t>
      </w:r>
      <w:proofErr w:type="spellStart"/>
      <w:r w:rsidR="00E25079">
        <w:rPr>
          <w:sz w:val="24"/>
        </w:rPr>
        <w:t>mFc</w:t>
      </w:r>
      <w:proofErr w:type="spellEnd"/>
      <w:r w:rsidR="00E25079">
        <w:rPr>
          <w:sz w:val="24"/>
        </w:rPr>
        <w:t xml:space="preserve">, and mCD40L under non-reducing, reducing, and </w:t>
      </w:r>
      <w:proofErr w:type="spellStart"/>
      <w:r w:rsidR="00E25079">
        <w:rPr>
          <w:sz w:val="24"/>
        </w:rPr>
        <w:t>PNGase</w:t>
      </w:r>
      <w:proofErr w:type="spellEnd"/>
      <w:r w:rsidR="00E25079">
        <w:rPr>
          <w:sz w:val="24"/>
        </w:rPr>
        <w:t xml:space="preserve"> F/reducing conditions.</w:t>
      </w:r>
    </w:p>
    <w:p w14:paraId="262871B5" w14:textId="4BA9CD5F" w:rsidR="00E25079" w:rsidRDefault="00E25079" w:rsidP="00E25079">
      <w:pPr>
        <w:jc w:val="both"/>
        <w:rPr>
          <w:sz w:val="24"/>
        </w:rPr>
      </w:pPr>
      <w:r>
        <w:rPr>
          <w:sz w:val="24"/>
        </w:rPr>
        <w:lastRenderedPageBreak/>
        <w:t>(</w:t>
      </w:r>
      <w:r w:rsidR="00E14D12">
        <w:rPr>
          <w:sz w:val="24"/>
        </w:rPr>
        <w:t>E</w:t>
      </w:r>
      <w:r>
        <w:rPr>
          <w:sz w:val="24"/>
        </w:rPr>
        <w:t>) Dual functional ELISA of the murine SIRP</w:t>
      </w:r>
      <w:r w:rsidRPr="00730A3E">
        <w:rPr>
          <w:sz w:val="24"/>
        </w:rPr>
        <w:t>α</w:t>
      </w:r>
      <w:r>
        <w:rPr>
          <w:sz w:val="24"/>
        </w:rPr>
        <w:t>-Fc-CD40L surrogate, demonstrating simultaneous binding to recombinant mouse CD47 and CD40.</w:t>
      </w:r>
    </w:p>
    <w:p w14:paraId="789EFAAD" w14:textId="2FBDEE6E" w:rsidR="00E25079" w:rsidRDefault="00E25079" w:rsidP="00E25079">
      <w:pPr>
        <w:jc w:val="both"/>
        <w:rPr>
          <w:sz w:val="24"/>
        </w:rPr>
      </w:pPr>
      <w:r>
        <w:rPr>
          <w:sz w:val="24"/>
        </w:rPr>
        <w:t>(</w:t>
      </w:r>
      <w:r w:rsidR="00E14D12">
        <w:rPr>
          <w:sz w:val="24"/>
        </w:rPr>
        <w:t>F</w:t>
      </w:r>
      <w:r>
        <w:rPr>
          <w:sz w:val="24"/>
        </w:rPr>
        <w:t xml:space="preserve">) Murine version of the phagocytosis assay using bone marrow derived macrophages co-cultured with A20 lymphoma or WEHI3 leukemia cells, in the presence of </w:t>
      </w:r>
      <w:proofErr w:type="spellStart"/>
      <w:r>
        <w:rPr>
          <w:sz w:val="24"/>
        </w:rPr>
        <w:t>mSIRP</w:t>
      </w:r>
      <w:proofErr w:type="spellEnd"/>
      <w:r w:rsidRPr="00730A3E">
        <w:rPr>
          <w:sz w:val="24"/>
        </w:rPr>
        <w:t>α</w:t>
      </w:r>
      <w:r>
        <w:rPr>
          <w:sz w:val="24"/>
        </w:rPr>
        <w:t>-Fc-CD40L or anti-CD47.</w:t>
      </w:r>
    </w:p>
    <w:p w14:paraId="0603BB75" w14:textId="1558B3E2" w:rsidR="00E25079" w:rsidRDefault="00E25079" w:rsidP="00E25079">
      <w:pPr>
        <w:jc w:val="both"/>
        <w:rPr>
          <w:sz w:val="24"/>
        </w:rPr>
      </w:pPr>
      <w:r>
        <w:rPr>
          <w:sz w:val="24"/>
        </w:rPr>
        <w:t>(</w:t>
      </w:r>
      <w:r w:rsidR="00E14D12">
        <w:rPr>
          <w:sz w:val="24"/>
        </w:rPr>
        <w:t>G</w:t>
      </w:r>
      <w:r>
        <w:rPr>
          <w:sz w:val="24"/>
        </w:rPr>
        <w:t>) Murine version of the NF</w:t>
      </w:r>
      <w:r w:rsidRPr="005B3E23">
        <w:rPr>
          <w:rFonts w:ascii="Symbol" w:hAnsi="Symbol"/>
          <w:sz w:val="24"/>
        </w:rPr>
        <w:t></w:t>
      </w:r>
      <w:r>
        <w:rPr>
          <w:sz w:val="24"/>
        </w:rPr>
        <w:t>B-luciferase reporter assay in CHO-K1 cells developed to express murine CD40 and an NF</w:t>
      </w:r>
      <w:r w:rsidRPr="005B3E23">
        <w:rPr>
          <w:rFonts w:ascii="Symbol" w:hAnsi="Symbol"/>
          <w:sz w:val="24"/>
        </w:rPr>
        <w:t></w:t>
      </w:r>
      <w:r>
        <w:rPr>
          <w:sz w:val="24"/>
        </w:rPr>
        <w:t xml:space="preserve">B-luciferase reporter. </w:t>
      </w:r>
    </w:p>
    <w:p w14:paraId="583B2DAD" w14:textId="77777777" w:rsidR="00E25079" w:rsidRDefault="00E25079" w:rsidP="00E25079">
      <w:pPr>
        <w:jc w:val="both"/>
        <w:rPr>
          <w:sz w:val="24"/>
          <w:szCs w:val="24"/>
        </w:rPr>
      </w:pPr>
    </w:p>
    <w:p w14:paraId="71542C32" w14:textId="77777777" w:rsidR="00E25079" w:rsidRDefault="00E25079" w:rsidP="00E25079">
      <w:pPr>
        <w:jc w:val="both"/>
        <w:rPr>
          <w:sz w:val="24"/>
          <w:szCs w:val="24"/>
        </w:rPr>
      </w:pPr>
    </w:p>
    <w:p w14:paraId="45307F03" w14:textId="77777777" w:rsidR="00E25079" w:rsidRDefault="00E25079" w:rsidP="00E25079">
      <w:pPr>
        <w:jc w:val="both"/>
        <w:rPr>
          <w:sz w:val="24"/>
          <w:szCs w:val="24"/>
        </w:rPr>
      </w:pPr>
    </w:p>
    <w:p w14:paraId="708571E0" w14:textId="77777777" w:rsidR="00E25079" w:rsidRDefault="00E25079" w:rsidP="00E25079">
      <w:pPr>
        <w:jc w:val="both"/>
        <w:rPr>
          <w:sz w:val="24"/>
          <w:szCs w:val="24"/>
        </w:rPr>
      </w:pPr>
    </w:p>
    <w:p w14:paraId="4A6E8BC5" w14:textId="77777777" w:rsidR="00E25079" w:rsidRDefault="00E25079" w:rsidP="00E25079">
      <w:pPr>
        <w:jc w:val="both"/>
        <w:rPr>
          <w:sz w:val="24"/>
          <w:szCs w:val="24"/>
        </w:rPr>
      </w:pPr>
    </w:p>
    <w:p w14:paraId="0DF4E5E7" w14:textId="77777777" w:rsidR="00E25079" w:rsidRDefault="00E25079" w:rsidP="00E25079">
      <w:pPr>
        <w:jc w:val="both"/>
        <w:rPr>
          <w:sz w:val="24"/>
          <w:szCs w:val="24"/>
        </w:rPr>
      </w:pPr>
    </w:p>
    <w:p w14:paraId="07248086" w14:textId="77777777" w:rsidR="00E25079" w:rsidRDefault="00E25079" w:rsidP="00E25079">
      <w:pPr>
        <w:jc w:val="both"/>
        <w:rPr>
          <w:sz w:val="24"/>
          <w:szCs w:val="24"/>
        </w:rPr>
      </w:pPr>
    </w:p>
    <w:p w14:paraId="1E635199" w14:textId="77777777" w:rsidR="00E25079" w:rsidRDefault="00E25079" w:rsidP="00E25079">
      <w:pPr>
        <w:jc w:val="both"/>
        <w:rPr>
          <w:sz w:val="24"/>
          <w:szCs w:val="24"/>
        </w:rPr>
      </w:pPr>
    </w:p>
    <w:p w14:paraId="633E27E8" w14:textId="77777777" w:rsidR="00E25079" w:rsidRDefault="00E25079" w:rsidP="00E25079">
      <w:pPr>
        <w:jc w:val="both"/>
        <w:rPr>
          <w:sz w:val="24"/>
          <w:szCs w:val="24"/>
        </w:rPr>
      </w:pPr>
    </w:p>
    <w:p w14:paraId="628DDA80" w14:textId="77777777" w:rsidR="00E25079" w:rsidRDefault="00E25079" w:rsidP="00E25079">
      <w:pPr>
        <w:jc w:val="both"/>
        <w:rPr>
          <w:sz w:val="24"/>
          <w:szCs w:val="24"/>
        </w:rPr>
      </w:pPr>
    </w:p>
    <w:p w14:paraId="77045DED" w14:textId="77777777" w:rsidR="00E25079" w:rsidRDefault="00E25079" w:rsidP="00E25079">
      <w:pPr>
        <w:jc w:val="both"/>
        <w:rPr>
          <w:sz w:val="24"/>
          <w:szCs w:val="24"/>
        </w:rPr>
      </w:pPr>
    </w:p>
    <w:p w14:paraId="7D944FD8" w14:textId="77777777" w:rsidR="00E25079" w:rsidRDefault="00E25079" w:rsidP="00E25079">
      <w:pPr>
        <w:jc w:val="both"/>
        <w:rPr>
          <w:sz w:val="24"/>
          <w:szCs w:val="24"/>
        </w:rPr>
      </w:pPr>
    </w:p>
    <w:p w14:paraId="3DC81053" w14:textId="77777777" w:rsidR="00E25079" w:rsidRDefault="00E25079" w:rsidP="00E25079">
      <w:pPr>
        <w:jc w:val="both"/>
        <w:rPr>
          <w:sz w:val="24"/>
          <w:szCs w:val="24"/>
        </w:rPr>
      </w:pPr>
    </w:p>
    <w:p w14:paraId="3F27078F" w14:textId="77777777" w:rsidR="00E25079" w:rsidRDefault="00E25079" w:rsidP="00E25079">
      <w:pPr>
        <w:jc w:val="both"/>
        <w:rPr>
          <w:sz w:val="24"/>
          <w:szCs w:val="24"/>
        </w:rPr>
      </w:pPr>
    </w:p>
    <w:p w14:paraId="5759D6C2" w14:textId="77777777" w:rsidR="00E25079" w:rsidRDefault="00E25079" w:rsidP="00E25079">
      <w:pPr>
        <w:jc w:val="both"/>
        <w:rPr>
          <w:sz w:val="24"/>
          <w:szCs w:val="24"/>
        </w:rPr>
      </w:pPr>
    </w:p>
    <w:p w14:paraId="2C90BA34" w14:textId="77777777" w:rsidR="00E25079" w:rsidRDefault="00E25079" w:rsidP="00E25079">
      <w:pPr>
        <w:jc w:val="both"/>
        <w:rPr>
          <w:sz w:val="24"/>
          <w:szCs w:val="24"/>
        </w:rPr>
      </w:pPr>
    </w:p>
    <w:p w14:paraId="47441BAE" w14:textId="77777777" w:rsidR="00E25079" w:rsidRDefault="00E25079" w:rsidP="00E25079">
      <w:pPr>
        <w:jc w:val="both"/>
        <w:rPr>
          <w:sz w:val="24"/>
          <w:szCs w:val="24"/>
        </w:rPr>
      </w:pPr>
    </w:p>
    <w:p w14:paraId="1AE6C44B" w14:textId="77777777" w:rsidR="00E25079" w:rsidRDefault="00E25079" w:rsidP="00E25079">
      <w:pPr>
        <w:jc w:val="both"/>
        <w:rPr>
          <w:sz w:val="24"/>
          <w:szCs w:val="24"/>
        </w:rPr>
      </w:pPr>
    </w:p>
    <w:p w14:paraId="2205422C" w14:textId="77777777" w:rsidR="00E25079" w:rsidRDefault="00E25079" w:rsidP="00E25079">
      <w:pPr>
        <w:jc w:val="both"/>
        <w:rPr>
          <w:sz w:val="24"/>
          <w:szCs w:val="24"/>
        </w:rPr>
      </w:pPr>
    </w:p>
    <w:p w14:paraId="3EC84C0E" w14:textId="23293B78" w:rsidR="00E25079" w:rsidRDefault="00F870EE" w:rsidP="00E25079">
      <w:pPr>
        <w:jc w:val="both"/>
        <w:rPr>
          <w:sz w:val="24"/>
          <w:szCs w:val="24"/>
        </w:rPr>
      </w:pPr>
      <w:r>
        <w:rPr>
          <w:noProof/>
          <w:sz w:val="24"/>
          <w:szCs w:val="24"/>
        </w:rPr>
        <w:lastRenderedPageBreak/>
        <w:drawing>
          <wp:inline distT="0" distB="0" distL="0" distR="0" wp14:anchorId="7FDB324C" wp14:editId="5514E3B4">
            <wp:extent cx="3800475"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ubmission CIR Sup Figur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0475" cy="8229600"/>
                    </a:xfrm>
                    <a:prstGeom prst="rect">
                      <a:avLst/>
                    </a:prstGeom>
                  </pic:spPr>
                </pic:pic>
              </a:graphicData>
            </a:graphic>
          </wp:inline>
        </w:drawing>
      </w:r>
    </w:p>
    <w:p w14:paraId="1F21EB17" w14:textId="77777777" w:rsidR="00E25079" w:rsidRPr="00C9772B" w:rsidRDefault="00E25079" w:rsidP="00E25079">
      <w:pPr>
        <w:jc w:val="both"/>
        <w:rPr>
          <w:b/>
          <w:bCs/>
          <w:sz w:val="24"/>
        </w:rPr>
      </w:pPr>
      <w:r w:rsidRPr="00C9772B">
        <w:rPr>
          <w:b/>
          <w:bCs/>
          <w:sz w:val="24"/>
          <w:szCs w:val="24"/>
        </w:rPr>
        <w:lastRenderedPageBreak/>
        <w:t xml:space="preserve">Supplementary Figure 2. </w:t>
      </w:r>
      <w:r>
        <w:rPr>
          <w:b/>
          <w:bCs/>
          <w:sz w:val="24"/>
          <w:szCs w:val="24"/>
        </w:rPr>
        <w:t xml:space="preserve">Supportive phagocytosis data and </w:t>
      </w:r>
      <w:r w:rsidRPr="00C9772B">
        <w:rPr>
          <w:b/>
          <w:bCs/>
          <w:sz w:val="24"/>
          <w:szCs w:val="24"/>
        </w:rPr>
        <w:t>SIRP</w:t>
      </w:r>
      <w:r w:rsidRPr="005B3E23">
        <w:rPr>
          <w:rFonts w:ascii="Symbol" w:hAnsi="Symbol"/>
          <w:b/>
          <w:bCs/>
          <w:sz w:val="24"/>
          <w:szCs w:val="24"/>
        </w:rPr>
        <w:t></w:t>
      </w:r>
      <w:r w:rsidRPr="00C9772B">
        <w:rPr>
          <w:b/>
          <w:bCs/>
          <w:sz w:val="24"/>
          <w:szCs w:val="24"/>
        </w:rPr>
        <w:t xml:space="preserve">- driven activation of dendritic cells </w:t>
      </w:r>
      <w:r w:rsidRPr="005B3E23">
        <w:rPr>
          <w:b/>
          <w:bCs/>
          <w:i/>
          <w:iCs/>
          <w:sz w:val="24"/>
          <w:szCs w:val="24"/>
        </w:rPr>
        <w:t>in vivo</w:t>
      </w:r>
      <w:r w:rsidRPr="00C9772B">
        <w:rPr>
          <w:b/>
          <w:bCs/>
          <w:sz w:val="24"/>
        </w:rPr>
        <w:t>.</w:t>
      </w:r>
    </w:p>
    <w:p w14:paraId="73449E3B" w14:textId="21795DBB" w:rsidR="00E25079" w:rsidRDefault="00E25079" w:rsidP="00E25079">
      <w:pPr>
        <w:jc w:val="both"/>
        <w:rPr>
          <w:sz w:val="24"/>
        </w:rPr>
      </w:pPr>
      <w:r>
        <w:rPr>
          <w:sz w:val="24"/>
        </w:rPr>
        <w:t>(A)</w:t>
      </w:r>
      <w:r w:rsidR="001778F6">
        <w:rPr>
          <w:sz w:val="24"/>
        </w:rPr>
        <w:t xml:space="preserve"> </w:t>
      </w:r>
      <w:r w:rsidR="00FE35A4">
        <w:rPr>
          <w:sz w:val="24"/>
        </w:rPr>
        <w:t>Phagocytosis quantitation of Raji cells by human macrophages using flow cytometry</w:t>
      </w:r>
      <w:r w:rsidR="00FE35A4" w:rsidRPr="00CC6769">
        <w:rPr>
          <w:sz w:val="24"/>
        </w:rPr>
        <w:t xml:space="preserve"> </w:t>
      </w:r>
      <w:proofErr w:type="spellStart"/>
      <w:r w:rsidR="00FE35A4">
        <w:rPr>
          <w:sz w:val="24"/>
        </w:rPr>
        <w:t>cytometry</w:t>
      </w:r>
      <w:proofErr w:type="spellEnd"/>
      <w:r w:rsidR="00FE35A4">
        <w:rPr>
          <w:sz w:val="24"/>
        </w:rPr>
        <w:t xml:space="preserve"> in the presence of </w:t>
      </w:r>
      <w:proofErr w:type="spellStart"/>
      <w:r w:rsidR="00FE35A4">
        <w:rPr>
          <w:sz w:val="24"/>
        </w:rPr>
        <w:t>hSIRP</w:t>
      </w:r>
      <w:proofErr w:type="spellEnd"/>
      <w:r w:rsidR="00FE35A4" w:rsidRPr="00EE3A60">
        <w:rPr>
          <w:rFonts w:ascii="Symbol" w:hAnsi="Symbol"/>
          <w:sz w:val="24"/>
        </w:rPr>
        <w:t></w:t>
      </w:r>
      <w:r w:rsidR="00FE35A4">
        <w:rPr>
          <w:sz w:val="24"/>
        </w:rPr>
        <w:t xml:space="preserve">-Fc-CD40L+/-Rituximab.  </w:t>
      </w:r>
    </w:p>
    <w:p w14:paraId="2A772536" w14:textId="72811545" w:rsidR="00E25079" w:rsidRDefault="00E25079" w:rsidP="00E25079">
      <w:pPr>
        <w:jc w:val="both"/>
        <w:rPr>
          <w:sz w:val="24"/>
        </w:rPr>
      </w:pPr>
      <w:r>
        <w:rPr>
          <w:sz w:val="24"/>
        </w:rPr>
        <w:t xml:space="preserve">(B) </w:t>
      </w:r>
      <w:r w:rsidR="00FE35A4">
        <w:rPr>
          <w:sz w:val="24"/>
        </w:rPr>
        <w:t>Flow cytometry phenotyping of surface expressed EGFR, HER2, CD40, and CD47 in the human tumor cell lines used for phagocytosis assays in Figure 2F.</w:t>
      </w:r>
    </w:p>
    <w:p w14:paraId="5A49B1DA" w14:textId="397BCEF9" w:rsidR="00F870EE" w:rsidRDefault="00E25079" w:rsidP="00E25079">
      <w:pPr>
        <w:jc w:val="both"/>
        <w:rPr>
          <w:sz w:val="24"/>
        </w:rPr>
      </w:pPr>
      <w:r>
        <w:rPr>
          <w:sz w:val="24"/>
        </w:rPr>
        <w:t>(C)</w:t>
      </w:r>
      <w:r w:rsidR="00F870EE">
        <w:rPr>
          <w:sz w:val="24"/>
        </w:rPr>
        <w:t xml:space="preserve"> Example gating for flow </w:t>
      </w:r>
      <w:proofErr w:type="gramStart"/>
      <w:r w:rsidR="00F870EE">
        <w:rPr>
          <w:sz w:val="24"/>
        </w:rPr>
        <w:t>cytometry based</w:t>
      </w:r>
      <w:proofErr w:type="gramEnd"/>
      <w:r w:rsidR="00F870EE">
        <w:rPr>
          <w:sz w:val="24"/>
        </w:rPr>
        <w:t xml:space="preserve"> phagocytosis assays in Figures 2C, 2E, and Supplementary Figure 1E.</w:t>
      </w:r>
      <w:r>
        <w:rPr>
          <w:sz w:val="24"/>
        </w:rPr>
        <w:t xml:space="preserve"> </w:t>
      </w:r>
    </w:p>
    <w:p w14:paraId="37DB521F" w14:textId="759679EC" w:rsidR="00E25079" w:rsidRDefault="00F870EE" w:rsidP="00E25079">
      <w:pPr>
        <w:jc w:val="both"/>
        <w:rPr>
          <w:sz w:val="24"/>
        </w:rPr>
      </w:pPr>
      <w:r>
        <w:rPr>
          <w:sz w:val="24"/>
        </w:rPr>
        <w:t xml:space="preserve">(D) </w:t>
      </w:r>
      <w:r w:rsidR="00E25079">
        <w:rPr>
          <w:sz w:val="24"/>
        </w:rPr>
        <w:t>Schematic and (</w:t>
      </w:r>
      <w:r>
        <w:rPr>
          <w:sz w:val="24"/>
        </w:rPr>
        <w:t>E</w:t>
      </w:r>
      <w:r w:rsidR="00E25079">
        <w:rPr>
          <w:sz w:val="24"/>
        </w:rPr>
        <w:t xml:space="preserve">) quantitation of </w:t>
      </w:r>
      <w:r w:rsidR="00E25079" w:rsidRPr="00291FD4">
        <w:rPr>
          <w:i/>
          <w:iCs/>
          <w:sz w:val="24"/>
        </w:rPr>
        <w:t>in vivo</w:t>
      </w:r>
      <w:r w:rsidR="00E25079">
        <w:rPr>
          <w:sz w:val="24"/>
        </w:rPr>
        <w:t xml:space="preserve"> dendritic cell activation; corresponding to Figure 2</w:t>
      </w:r>
      <w:r w:rsidR="00FE35A4">
        <w:rPr>
          <w:sz w:val="24"/>
        </w:rPr>
        <w:t>E</w:t>
      </w:r>
      <w:r w:rsidR="00E25079">
        <w:rPr>
          <w:sz w:val="24"/>
        </w:rPr>
        <w:t>. Shown is the absolute percent</w:t>
      </w:r>
      <w:r w:rsidR="00CC6769">
        <w:rPr>
          <w:sz w:val="24"/>
        </w:rPr>
        <w:t>age</w:t>
      </w:r>
      <w:r w:rsidR="00E25079">
        <w:rPr>
          <w:sz w:val="24"/>
        </w:rPr>
        <w:t xml:space="preserve"> of CD4+ and CD8+ dendritic cells; also gated on CD11c and DC1R2.</w:t>
      </w:r>
    </w:p>
    <w:p w14:paraId="1E95AEE6" w14:textId="5A699A2D" w:rsidR="002756C9" w:rsidRPr="005B3E23" w:rsidRDefault="00D7001A" w:rsidP="002756C9">
      <w:pPr>
        <w:jc w:val="both"/>
        <w:rPr>
          <w:sz w:val="24"/>
          <w:szCs w:val="24"/>
        </w:rPr>
      </w:pPr>
      <w:r>
        <w:rPr>
          <w:sz w:val="24"/>
        </w:rPr>
        <w:t>(F) Example gating for flow cytometry in Figures 2F, and Supplementary Figures 2C and 2D.</w:t>
      </w:r>
      <w:r w:rsidR="002756C9">
        <w:rPr>
          <w:sz w:val="24"/>
        </w:rPr>
        <w:t xml:space="preserve"> </w:t>
      </w:r>
      <w:r w:rsidR="002756C9">
        <w:rPr>
          <w:sz w:val="24"/>
          <w:szCs w:val="24"/>
        </w:rPr>
        <w:t xml:space="preserve">The same gating strategy was used for CD4+ DCs as is shown for CD8+ </w:t>
      </w:r>
      <w:proofErr w:type="gramStart"/>
      <w:r w:rsidR="002756C9">
        <w:rPr>
          <w:sz w:val="24"/>
          <w:szCs w:val="24"/>
        </w:rPr>
        <w:t>DCs.</w:t>
      </w:r>
      <w:r w:rsidR="00E14D12">
        <w:rPr>
          <w:sz w:val="24"/>
          <w:szCs w:val="24"/>
        </w:rPr>
        <w:softHyphen/>
      </w:r>
      <w:proofErr w:type="gramEnd"/>
    </w:p>
    <w:p w14:paraId="0FDB5E89" w14:textId="6F637DCD" w:rsidR="00D7001A" w:rsidRDefault="00D7001A" w:rsidP="00E25079">
      <w:pPr>
        <w:jc w:val="both"/>
        <w:rPr>
          <w:sz w:val="24"/>
        </w:rPr>
      </w:pPr>
    </w:p>
    <w:p w14:paraId="73EA505E" w14:textId="77777777" w:rsidR="00E25079" w:rsidRDefault="00E25079" w:rsidP="00E25079">
      <w:pPr>
        <w:jc w:val="both"/>
        <w:rPr>
          <w:sz w:val="24"/>
        </w:rPr>
      </w:pPr>
    </w:p>
    <w:p w14:paraId="7F1A0F92" w14:textId="77777777" w:rsidR="00E25079" w:rsidRDefault="00E25079" w:rsidP="00E25079">
      <w:pPr>
        <w:jc w:val="both"/>
        <w:rPr>
          <w:sz w:val="24"/>
        </w:rPr>
      </w:pPr>
    </w:p>
    <w:p w14:paraId="64EECE17" w14:textId="77777777" w:rsidR="00E25079" w:rsidRDefault="00E25079" w:rsidP="00E25079">
      <w:pPr>
        <w:jc w:val="both"/>
        <w:rPr>
          <w:sz w:val="24"/>
        </w:rPr>
      </w:pPr>
    </w:p>
    <w:p w14:paraId="38654257" w14:textId="3B52591C" w:rsidR="00E25079" w:rsidRDefault="00E25079" w:rsidP="00E25079">
      <w:pPr>
        <w:jc w:val="both"/>
        <w:rPr>
          <w:sz w:val="24"/>
          <w:szCs w:val="24"/>
        </w:rPr>
      </w:pPr>
    </w:p>
    <w:p w14:paraId="1FAED25B" w14:textId="5AF5C808" w:rsidR="00E25079" w:rsidRDefault="008B3E96" w:rsidP="00E25079">
      <w:pPr>
        <w:jc w:val="both"/>
        <w:rPr>
          <w:b/>
          <w:bCs/>
          <w:sz w:val="24"/>
          <w:szCs w:val="24"/>
        </w:rPr>
      </w:pPr>
      <w:r>
        <w:rPr>
          <w:b/>
          <w:bCs/>
          <w:noProof/>
          <w:sz w:val="24"/>
          <w:szCs w:val="24"/>
        </w:rPr>
        <w:drawing>
          <wp:inline distT="0" distB="0" distL="0" distR="0" wp14:anchorId="2207BAE4" wp14:editId="266164E0">
            <wp:extent cx="48133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bmission CIR Sup Figur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3300" cy="3657600"/>
                    </a:xfrm>
                    <a:prstGeom prst="rect">
                      <a:avLst/>
                    </a:prstGeom>
                  </pic:spPr>
                </pic:pic>
              </a:graphicData>
            </a:graphic>
          </wp:inline>
        </w:drawing>
      </w:r>
    </w:p>
    <w:p w14:paraId="10C8C33B" w14:textId="77777777" w:rsidR="00E25079" w:rsidRPr="00CA0BCB" w:rsidRDefault="00E25079" w:rsidP="00E25079">
      <w:pPr>
        <w:jc w:val="both"/>
        <w:rPr>
          <w:b/>
          <w:bCs/>
          <w:sz w:val="24"/>
          <w:szCs w:val="24"/>
        </w:rPr>
      </w:pPr>
      <w:r w:rsidRPr="00C9772B">
        <w:rPr>
          <w:b/>
          <w:bCs/>
          <w:sz w:val="24"/>
          <w:szCs w:val="24"/>
        </w:rPr>
        <w:t xml:space="preserve">Supplementary Figure </w:t>
      </w:r>
      <w:r>
        <w:rPr>
          <w:b/>
          <w:bCs/>
          <w:sz w:val="24"/>
          <w:szCs w:val="24"/>
        </w:rPr>
        <w:t>3</w:t>
      </w:r>
      <w:r w:rsidRPr="00C9772B">
        <w:rPr>
          <w:b/>
          <w:bCs/>
          <w:sz w:val="24"/>
          <w:szCs w:val="24"/>
        </w:rPr>
        <w:t xml:space="preserve">. </w:t>
      </w:r>
      <w:r>
        <w:rPr>
          <w:b/>
          <w:bCs/>
          <w:sz w:val="24"/>
          <w:szCs w:val="24"/>
        </w:rPr>
        <w:t>Type I interferon expression in macrophages co-cultured with Raji cells</w:t>
      </w:r>
      <w:r w:rsidRPr="00C9772B">
        <w:rPr>
          <w:b/>
          <w:bCs/>
          <w:sz w:val="24"/>
        </w:rPr>
        <w:t>.</w:t>
      </w:r>
    </w:p>
    <w:p w14:paraId="494F7710" w14:textId="1C3FFEB4" w:rsidR="008B3E96" w:rsidRDefault="008B3E96" w:rsidP="00E25079">
      <w:pPr>
        <w:jc w:val="both"/>
        <w:rPr>
          <w:sz w:val="24"/>
        </w:rPr>
      </w:pPr>
      <w:r>
        <w:rPr>
          <w:sz w:val="24"/>
        </w:rPr>
        <w:t>(A) Example gating for CD8 depletion flow cytometry from human PBMCs presented in Figure 3C-D.</w:t>
      </w:r>
    </w:p>
    <w:p w14:paraId="754EE0B6" w14:textId="7574BA0B" w:rsidR="00E25079" w:rsidRDefault="00E25079" w:rsidP="00632166">
      <w:pPr>
        <w:jc w:val="both"/>
        <w:rPr>
          <w:sz w:val="24"/>
          <w:szCs w:val="24"/>
        </w:rPr>
      </w:pPr>
      <w:r>
        <w:rPr>
          <w:sz w:val="24"/>
        </w:rPr>
        <w:t>(</w:t>
      </w:r>
      <w:r w:rsidR="008B3E96">
        <w:rPr>
          <w:sz w:val="24"/>
        </w:rPr>
        <w:t>B</w:t>
      </w:r>
      <w:r>
        <w:rPr>
          <w:sz w:val="24"/>
        </w:rPr>
        <w:t>) Supportive data for Figure 3E. Fold-change in gene expression relative to ACTB and the untreated control was assessed in CD11b+ sorted macrophages following 2 h co-culture with Raji cells</w:t>
      </w:r>
      <w:r w:rsidR="00CC6769" w:rsidRPr="00CC6769">
        <w:rPr>
          <w:sz w:val="24"/>
        </w:rPr>
        <w:t xml:space="preserve"> </w:t>
      </w:r>
      <w:r w:rsidR="00CC6769">
        <w:rPr>
          <w:sz w:val="24"/>
        </w:rPr>
        <w:t xml:space="preserve">treated with </w:t>
      </w:r>
      <w:proofErr w:type="spellStart"/>
      <w:r w:rsidR="00CC6769">
        <w:rPr>
          <w:sz w:val="24"/>
        </w:rPr>
        <w:t>hSIRP</w:t>
      </w:r>
      <w:proofErr w:type="spellEnd"/>
      <w:r w:rsidR="00CC6769" w:rsidRPr="00EE3A60">
        <w:rPr>
          <w:rFonts w:ascii="Symbol" w:hAnsi="Symbol"/>
          <w:sz w:val="24"/>
        </w:rPr>
        <w:t></w:t>
      </w:r>
      <w:r w:rsidR="00CC6769">
        <w:rPr>
          <w:sz w:val="24"/>
        </w:rPr>
        <w:t>-Fc-CD40L +/- Rituximab (</w:t>
      </w:r>
      <w:proofErr w:type="spellStart"/>
      <w:r w:rsidR="00CC6769">
        <w:rPr>
          <w:sz w:val="24"/>
        </w:rPr>
        <w:t>Ritux</w:t>
      </w:r>
      <w:proofErr w:type="spellEnd"/>
      <w:r w:rsidR="00CC6769">
        <w:rPr>
          <w:sz w:val="24"/>
        </w:rPr>
        <w:t>)</w:t>
      </w:r>
      <w:r>
        <w:rPr>
          <w:sz w:val="24"/>
        </w:rPr>
        <w:t xml:space="preserve">.  </w:t>
      </w:r>
    </w:p>
    <w:p w14:paraId="6E0FA2A5" w14:textId="624D885E" w:rsidR="00E25079" w:rsidRDefault="00F47861" w:rsidP="00E25079">
      <w:pPr>
        <w:jc w:val="both"/>
        <w:rPr>
          <w:sz w:val="24"/>
          <w:szCs w:val="24"/>
        </w:rPr>
      </w:pPr>
      <w:r>
        <w:rPr>
          <w:noProof/>
          <w:sz w:val="24"/>
          <w:szCs w:val="24"/>
        </w:rPr>
        <w:lastRenderedPageBreak/>
        <w:drawing>
          <wp:inline distT="0" distB="0" distL="0" distR="0" wp14:anchorId="53756BFE" wp14:editId="765441AD">
            <wp:extent cx="5043170" cy="8229600"/>
            <wp:effectExtent l="0" t="0" r="0" b="0"/>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ubmission CIR Sup Figur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3170" cy="8229600"/>
                    </a:xfrm>
                    <a:prstGeom prst="rect">
                      <a:avLst/>
                    </a:prstGeom>
                  </pic:spPr>
                </pic:pic>
              </a:graphicData>
            </a:graphic>
          </wp:inline>
        </w:drawing>
      </w:r>
    </w:p>
    <w:p w14:paraId="4F0D1DF9" w14:textId="77777777" w:rsidR="00D80966" w:rsidRPr="00D80966" w:rsidRDefault="00D80966" w:rsidP="00D80966">
      <w:pPr>
        <w:jc w:val="both"/>
        <w:rPr>
          <w:b/>
          <w:bCs/>
          <w:sz w:val="24"/>
          <w:szCs w:val="24"/>
        </w:rPr>
      </w:pPr>
      <w:r w:rsidRPr="00D80966">
        <w:rPr>
          <w:b/>
          <w:bCs/>
          <w:sz w:val="24"/>
          <w:szCs w:val="24"/>
        </w:rPr>
        <w:lastRenderedPageBreak/>
        <w:t>Supplementary Figure 4. Blockade of CD4, CD8, and IFNAR1.</w:t>
      </w:r>
    </w:p>
    <w:p w14:paraId="5B39FE65" w14:textId="024FBDD7" w:rsidR="00F47861" w:rsidRDefault="00F47861" w:rsidP="00D80966">
      <w:pPr>
        <w:jc w:val="both"/>
        <w:rPr>
          <w:sz w:val="24"/>
          <w:szCs w:val="24"/>
        </w:rPr>
      </w:pPr>
      <w:r>
        <w:rPr>
          <w:sz w:val="24"/>
          <w:szCs w:val="24"/>
        </w:rPr>
        <w:t>(A) Example gating for flow cytometry in Figure 4B.</w:t>
      </w:r>
    </w:p>
    <w:p w14:paraId="2A7911B9" w14:textId="77777777" w:rsidR="00F47861" w:rsidRDefault="00D80966" w:rsidP="00D80966">
      <w:pPr>
        <w:jc w:val="both"/>
        <w:rPr>
          <w:sz w:val="24"/>
          <w:szCs w:val="24"/>
        </w:rPr>
      </w:pPr>
      <w:r w:rsidRPr="00D80966">
        <w:rPr>
          <w:sz w:val="24"/>
          <w:szCs w:val="24"/>
        </w:rPr>
        <w:t>Peripheral blood analysis by flow cytometry of (</w:t>
      </w:r>
      <w:r w:rsidR="00F47861">
        <w:rPr>
          <w:sz w:val="24"/>
          <w:szCs w:val="24"/>
        </w:rPr>
        <w:t>B</w:t>
      </w:r>
      <w:r w:rsidRPr="00D80966">
        <w:rPr>
          <w:sz w:val="24"/>
          <w:szCs w:val="24"/>
        </w:rPr>
        <w:t>) CD4</w:t>
      </w:r>
      <w:r w:rsidR="00F47861">
        <w:rPr>
          <w:sz w:val="24"/>
          <w:szCs w:val="24"/>
        </w:rPr>
        <w:t xml:space="preserve"> (left)</w:t>
      </w:r>
      <w:r w:rsidRPr="00D80966">
        <w:rPr>
          <w:sz w:val="24"/>
          <w:szCs w:val="24"/>
        </w:rPr>
        <w:t>,</w:t>
      </w:r>
      <w:r w:rsidR="00F47861">
        <w:rPr>
          <w:sz w:val="24"/>
          <w:szCs w:val="24"/>
        </w:rPr>
        <w:t xml:space="preserve"> </w:t>
      </w:r>
      <w:r w:rsidRPr="00D80966">
        <w:rPr>
          <w:sz w:val="24"/>
          <w:szCs w:val="24"/>
        </w:rPr>
        <w:t>CD8</w:t>
      </w:r>
      <w:r w:rsidR="00F47861">
        <w:rPr>
          <w:sz w:val="24"/>
          <w:szCs w:val="24"/>
        </w:rPr>
        <w:t xml:space="preserve"> (middle)</w:t>
      </w:r>
      <w:r w:rsidRPr="00D80966">
        <w:rPr>
          <w:sz w:val="24"/>
          <w:szCs w:val="24"/>
        </w:rPr>
        <w:t>, and IFNAR1</w:t>
      </w:r>
      <w:r w:rsidR="00F47861">
        <w:rPr>
          <w:sz w:val="24"/>
          <w:szCs w:val="24"/>
        </w:rPr>
        <w:t xml:space="preserve"> (right)</w:t>
      </w:r>
      <w:r w:rsidRPr="00D80966">
        <w:rPr>
          <w:sz w:val="24"/>
          <w:szCs w:val="24"/>
        </w:rPr>
        <w:t xml:space="preserve"> following depleting antibody treatment corresponding to Figure 4C-E.  Samples were normalized to untreated animals. </w:t>
      </w:r>
    </w:p>
    <w:p w14:paraId="675EE7DC" w14:textId="2D0B6202" w:rsidR="00F47861" w:rsidRDefault="00D80966" w:rsidP="00D80966">
      <w:pPr>
        <w:jc w:val="both"/>
        <w:rPr>
          <w:sz w:val="24"/>
          <w:szCs w:val="24"/>
        </w:rPr>
      </w:pPr>
      <w:r w:rsidRPr="00D80966">
        <w:rPr>
          <w:sz w:val="24"/>
          <w:szCs w:val="24"/>
        </w:rPr>
        <w:t>(</w:t>
      </w:r>
      <w:r w:rsidR="00F47861">
        <w:rPr>
          <w:sz w:val="24"/>
          <w:szCs w:val="24"/>
        </w:rPr>
        <w:t>C</w:t>
      </w:r>
      <w:r w:rsidRPr="00D80966">
        <w:rPr>
          <w:sz w:val="24"/>
          <w:szCs w:val="24"/>
        </w:rPr>
        <w:t>)</w:t>
      </w:r>
      <w:r w:rsidR="009D11F8">
        <w:rPr>
          <w:sz w:val="24"/>
          <w:szCs w:val="24"/>
        </w:rPr>
        <w:t xml:space="preserve"> </w:t>
      </w:r>
      <w:r w:rsidR="00F47861">
        <w:rPr>
          <w:sz w:val="24"/>
          <w:szCs w:val="24"/>
        </w:rPr>
        <w:t>Example flow cytometry gating for CD4, CD8, and IFNAR1 depletion shown in Supplementary Figure 4B.</w:t>
      </w:r>
    </w:p>
    <w:p w14:paraId="5EF5E4EB" w14:textId="15005E8D" w:rsidR="00E25079" w:rsidRPr="00D80966" w:rsidRDefault="00F47861" w:rsidP="00D80966">
      <w:pPr>
        <w:jc w:val="both"/>
        <w:rPr>
          <w:sz w:val="24"/>
        </w:rPr>
      </w:pPr>
      <w:r>
        <w:rPr>
          <w:sz w:val="24"/>
          <w:szCs w:val="24"/>
        </w:rPr>
        <w:t xml:space="preserve">(D) </w:t>
      </w:r>
      <w:r w:rsidR="00D80966" w:rsidRPr="00D80966">
        <w:rPr>
          <w:sz w:val="24"/>
          <w:szCs w:val="24"/>
        </w:rPr>
        <w:t>CD4 and CD8 cells were depleted from CT26 tumor bearing mice on days 9, 11, and 15 of the time</w:t>
      </w:r>
      <w:r w:rsidR="00D80966">
        <w:rPr>
          <w:sz w:val="24"/>
          <w:szCs w:val="24"/>
        </w:rPr>
        <w:t>-</w:t>
      </w:r>
      <w:r w:rsidR="00D80966" w:rsidRPr="00D80966">
        <w:rPr>
          <w:sz w:val="24"/>
          <w:szCs w:val="24"/>
        </w:rPr>
        <w:t>course; after treatment with SIRP</w:t>
      </w:r>
      <w:r w:rsidR="00D80966">
        <w:rPr>
          <w:sz w:val="24"/>
          <w:szCs w:val="24"/>
        </w:rPr>
        <w:t>α</w:t>
      </w:r>
      <w:r w:rsidR="00D80966" w:rsidRPr="00D80966">
        <w:rPr>
          <w:sz w:val="24"/>
          <w:szCs w:val="24"/>
        </w:rPr>
        <w:t xml:space="preserve">-Fc-CD40L began (treatment on days 7, 9, and 11). This strategy is referred to as ‘late’ depletion and correlates with the ‘early’ CD4 / CD8 depletion shown in Figure 4C. IFNAR1+ cells were depleted from (E) WEHI3 </w:t>
      </w:r>
      <w:r>
        <w:rPr>
          <w:sz w:val="24"/>
          <w:szCs w:val="24"/>
        </w:rPr>
        <w:t xml:space="preserve">(left) </w:t>
      </w:r>
      <w:r w:rsidR="00D80966" w:rsidRPr="00D80966">
        <w:rPr>
          <w:sz w:val="24"/>
          <w:szCs w:val="24"/>
        </w:rPr>
        <w:t>and</w:t>
      </w:r>
      <w:r>
        <w:rPr>
          <w:sz w:val="24"/>
          <w:szCs w:val="24"/>
        </w:rPr>
        <w:t xml:space="preserve"> </w:t>
      </w:r>
      <w:r w:rsidR="00D80966" w:rsidRPr="00D80966">
        <w:rPr>
          <w:sz w:val="24"/>
          <w:szCs w:val="24"/>
        </w:rPr>
        <w:t>A20</w:t>
      </w:r>
      <w:r>
        <w:rPr>
          <w:sz w:val="24"/>
          <w:szCs w:val="24"/>
        </w:rPr>
        <w:t xml:space="preserve"> (right)</w:t>
      </w:r>
      <w:r w:rsidR="00D80966" w:rsidRPr="00D80966">
        <w:rPr>
          <w:sz w:val="24"/>
          <w:szCs w:val="24"/>
        </w:rPr>
        <w:t xml:space="preserve"> bearing mice on days 9, 11, and 13 in the WEHI3 animals and on days 12, 14, and 16 in the A20 animals after treatment with SIRP</w:t>
      </w:r>
      <w:r w:rsidR="00D80966">
        <w:rPr>
          <w:sz w:val="24"/>
          <w:szCs w:val="24"/>
        </w:rPr>
        <w:t>α</w:t>
      </w:r>
      <w:r w:rsidR="00D80966" w:rsidRPr="00D80966">
        <w:rPr>
          <w:sz w:val="24"/>
          <w:szCs w:val="24"/>
        </w:rPr>
        <w:t xml:space="preserve">-Fc-CD40L began. As in Figure 4D-E, </w:t>
      </w:r>
      <w:proofErr w:type="spellStart"/>
      <w:r w:rsidR="00D80966" w:rsidRPr="00D80966">
        <w:rPr>
          <w:sz w:val="24"/>
          <w:szCs w:val="24"/>
        </w:rPr>
        <w:t>mSIRP</w:t>
      </w:r>
      <w:proofErr w:type="spellEnd"/>
      <w:r w:rsidR="00D80966">
        <w:rPr>
          <w:sz w:val="24"/>
          <w:szCs w:val="24"/>
        </w:rPr>
        <w:t>α</w:t>
      </w:r>
      <w:r w:rsidR="00D80966" w:rsidRPr="00D80966">
        <w:rPr>
          <w:sz w:val="24"/>
          <w:szCs w:val="24"/>
        </w:rPr>
        <w:t>-Fc-CD40L was given on days 7, 9, and 11 in WEHI3 bearing mice and on days 10, 12, and 14 in A20 bearing mice. This strategy is referred to as ‘late’ depletion and correlates with the ‘early’ IFNAR1 depletion shown in Figure 4D-E.</w:t>
      </w:r>
    </w:p>
    <w:p w14:paraId="1A5BE6DC" w14:textId="77777777" w:rsidR="00E25079" w:rsidRDefault="00E25079" w:rsidP="00E25079">
      <w:pPr>
        <w:jc w:val="both"/>
        <w:rPr>
          <w:sz w:val="24"/>
        </w:rPr>
      </w:pPr>
    </w:p>
    <w:p w14:paraId="52B45771" w14:textId="77777777" w:rsidR="00E25079" w:rsidRDefault="00E25079" w:rsidP="00E25079">
      <w:pPr>
        <w:jc w:val="both"/>
        <w:rPr>
          <w:sz w:val="24"/>
        </w:rPr>
      </w:pPr>
    </w:p>
    <w:p w14:paraId="6B8B7BDD" w14:textId="77777777" w:rsidR="00E25079" w:rsidRDefault="00E25079" w:rsidP="00E25079">
      <w:pPr>
        <w:jc w:val="both"/>
        <w:rPr>
          <w:sz w:val="24"/>
        </w:rPr>
      </w:pPr>
    </w:p>
    <w:p w14:paraId="611BCA1D" w14:textId="77777777" w:rsidR="00E25079" w:rsidRDefault="00E25079" w:rsidP="00E25079">
      <w:pPr>
        <w:jc w:val="both"/>
        <w:rPr>
          <w:sz w:val="24"/>
        </w:rPr>
      </w:pPr>
    </w:p>
    <w:p w14:paraId="0225AC0E" w14:textId="77777777" w:rsidR="00E25079" w:rsidRDefault="00E25079" w:rsidP="00E25079">
      <w:pPr>
        <w:jc w:val="both"/>
        <w:rPr>
          <w:sz w:val="24"/>
        </w:rPr>
      </w:pPr>
    </w:p>
    <w:p w14:paraId="7A464FAD" w14:textId="77777777" w:rsidR="00E25079" w:rsidRDefault="00E25079" w:rsidP="00E25079">
      <w:pPr>
        <w:jc w:val="both"/>
        <w:rPr>
          <w:sz w:val="24"/>
        </w:rPr>
      </w:pPr>
    </w:p>
    <w:p w14:paraId="766BA1B3" w14:textId="77777777" w:rsidR="00E25079" w:rsidRDefault="00E25079" w:rsidP="00E25079">
      <w:pPr>
        <w:jc w:val="both"/>
        <w:rPr>
          <w:sz w:val="24"/>
        </w:rPr>
      </w:pPr>
    </w:p>
    <w:p w14:paraId="1A27388E" w14:textId="77777777" w:rsidR="00E25079" w:rsidRDefault="00E25079" w:rsidP="00E25079">
      <w:pPr>
        <w:jc w:val="both"/>
        <w:rPr>
          <w:sz w:val="24"/>
        </w:rPr>
      </w:pPr>
    </w:p>
    <w:p w14:paraId="6DB1620B" w14:textId="77777777" w:rsidR="00E25079" w:rsidRDefault="00E25079" w:rsidP="00E25079">
      <w:pPr>
        <w:jc w:val="both"/>
        <w:rPr>
          <w:sz w:val="24"/>
        </w:rPr>
      </w:pPr>
    </w:p>
    <w:p w14:paraId="490B449E" w14:textId="77777777" w:rsidR="00E25079" w:rsidRDefault="00E25079" w:rsidP="00E25079">
      <w:pPr>
        <w:jc w:val="both"/>
        <w:rPr>
          <w:sz w:val="24"/>
        </w:rPr>
      </w:pPr>
    </w:p>
    <w:p w14:paraId="50544EB8" w14:textId="7552041C" w:rsidR="00E25079" w:rsidRDefault="009D11F8" w:rsidP="00E25079">
      <w:pPr>
        <w:jc w:val="both"/>
        <w:rPr>
          <w:sz w:val="24"/>
        </w:rPr>
      </w:pPr>
      <w:r>
        <w:rPr>
          <w:noProof/>
          <w:sz w:val="24"/>
        </w:rPr>
        <w:lastRenderedPageBreak/>
        <w:drawing>
          <wp:inline distT="0" distB="0" distL="0" distR="0" wp14:anchorId="66749CA2" wp14:editId="68212855">
            <wp:extent cx="5219700" cy="546100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ubmission CIR Sup Figur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700" cy="5461000"/>
                    </a:xfrm>
                    <a:prstGeom prst="rect">
                      <a:avLst/>
                    </a:prstGeom>
                  </pic:spPr>
                </pic:pic>
              </a:graphicData>
            </a:graphic>
          </wp:inline>
        </w:drawing>
      </w:r>
    </w:p>
    <w:p w14:paraId="4D5CC335" w14:textId="5550D822" w:rsidR="00E25079" w:rsidRDefault="00E25079" w:rsidP="00E25079">
      <w:pPr>
        <w:jc w:val="both"/>
        <w:rPr>
          <w:sz w:val="24"/>
        </w:rPr>
      </w:pPr>
    </w:p>
    <w:p w14:paraId="7AB9A456" w14:textId="77777777" w:rsidR="00E25079" w:rsidRPr="00C9772B" w:rsidRDefault="00E25079" w:rsidP="00E25079">
      <w:pPr>
        <w:jc w:val="both"/>
        <w:rPr>
          <w:b/>
          <w:bCs/>
          <w:sz w:val="24"/>
        </w:rPr>
      </w:pPr>
      <w:r w:rsidRPr="00C9772B">
        <w:rPr>
          <w:b/>
          <w:bCs/>
          <w:sz w:val="24"/>
          <w:szCs w:val="24"/>
        </w:rPr>
        <w:t xml:space="preserve">Supplementary Figure </w:t>
      </w:r>
      <w:r>
        <w:rPr>
          <w:b/>
          <w:bCs/>
          <w:sz w:val="24"/>
          <w:szCs w:val="24"/>
        </w:rPr>
        <w:t>5</w:t>
      </w:r>
      <w:r w:rsidRPr="00C9772B">
        <w:rPr>
          <w:b/>
          <w:bCs/>
          <w:sz w:val="24"/>
          <w:szCs w:val="24"/>
        </w:rPr>
        <w:t xml:space="preserve">. </w:t>
      </w:r>
      <w:r>
        <w:rPr>
          <w:b/>
          <w:bCs/>
          <w:sz w:val="24"/>
          <w:szCs w:val="24"/>
        </w:rPr>
        <w:t xml:space="preserve">CT26 </w:t>
      </w:r>
      <w:r w:rsidRPr="00042130">
        <w:rPr>
          <w:b/>
          <w:bCs/>
          <w:sz w:val="24"/>
          <w:szCs w:val="24"/>
        </w:rPr>
        <w:t>combination experiment with various sequenc</w:t>
      </w:r>
      <w:r>
        <w:rPr>
          <w:b/>
          <w:bCs/>
          <w:sz w:val="24"/>
          <w:szCs w:val="24"/>
        </w:rPr>
        <w:t>ing</w:t>
      </w:r>
      <w:r w:rsidRPr="00042130">
        <w:rPr>
          <w:b/>
          <w:bCs/>
          <w:sz w:val="24"/>
          <w:szCs w:val="24"/>
        </w:rPr>
        <w:t xml:space="preserve"> of </w:t>
      </w:r>
      <w:proofErr w:type="spellStart"/>
      <w:r w:rsidRPr="005B3E23">
        <w:rPr>
          <w:b/>
          <w:bCs/>
          <w:sz w:val="24"/>
        </w:rPr>
        <w:t>mSIRP</w:t>
      </w:r>
      <w:proofErr w:type="spellEnd"/>
      <w:r w:rsidRPr="005B3E23">
        <w:rPr>
          <w:b/>
          <w:bCs/>
          <w:sz w:val="24"/>
        </w:rPr>
        <w:t>α-Fc-CD40L and anti-CTLA4 or anti-PD1.</w:t>
      </w:r>
    </w:p>
    <w:p w14:paraId="751C2F4C" w14:textId="77777777" w:rsidR="00CC6769" w:rsidRDefault="00E25079" w:rsidP="00CC6769">
      <w:pPr>
        <w:jc w:val="both"/>
        <w:rPr>
          <w:sz w:val="24"/>
        </w:rPr>
      </w:pPr>
      <w:r>
        <w:rPr>
          <w:sz w:val="24"/>
        </w:rPr>
        <w:t xml:space="preserve">(A)(C) Combinations with anti-CTLA4 or anti-PD1 respectively; number of mice in each treatment group, number of mice that rejected the primary CT26 tumor, number of mice that rejected the secondary CT26 tumor re-challenge (without subsequent retreatment), and (B)(D) </w:t>
      </w:r>
    </w:p>
    <w:p w14:paraId="36637F8F" w14:textId="77777777" w:rsidR="00CC6769" w:rsidRDefault="00CC6769" w:rsidP="00CC6769">
      <w:pPr>
        <w:jc w:val="both"/>
        <w:rPr>
          <w:sz w:val="24"/>
        </w:rPr>
      </w:pPr>
      <w:r>
        <w:rPr>
          <w:sz w:val="24"/>
        </w:rPr>
        <w:t>Mantle Cox survival and statistical analysis between monotherapy and combination groups. ‘d’ represents ‘day’ on which the therapies were administered.</w:t>
      </w:r>
    </w:p>
    <w:p w14:paraId="1268F271" w14:textId="68966C4C" w:rsidR="00E25079" w:rsidRDefault="009D11F8" w:rsidP="00E25079">
      <w:pPr>
        <w:jc w:val="both"/>
        <w:rPr>
          <w:sz w:val="24"/>
        </w:rPr>
      </w:pPr>
      <w:r>
        <w:rPr>
          <w:sz w:val="24"/>
        </w:rPr>
        <w:t xml:space="preserve">(E) </w:t>
      </w:r>
      <w:r>
        <w:rPr>
          <w:sz w:val="24"/>
          <w:szCs w:val="24"/>
        </w:rPr>
        <w:t>Example flow cytometry gating for Figure 5C.</w:t>
      </w:r>
    </w:p>
    <w:p w14:paraId="5F298C26" w14:textId="77777777" w:rsidR="00E25079" w:rsidRDefault="00E25079" w:rsidP="00E25079">
      <w:pPr>
        <w:jc w:val="both"/>
        <w:rPr>
          <w:sz w:val="24"/>
        </w:rPr>
      </w:pPr>
    </w:p>
    <w:p w14:paraId="57F2895C" w14:textId="3EA366F3" w:rsidR="00E25079" w:rsidRDefault="00E25079" w:rsidP="00E25079">
      <w:pPr>
        <w:jc w:val="both"/>
        <w:rPr>
          <w:sz w:val="24"/>
        </w:rPr>
      </w:pPr>
    </w:p>
    <w:p w14:paraId="1DB15903" w14:textId="38F218D7" w:rsidR="00723C0A" w:rsidRDefault="00723C0A" w:rsidP="00E25079">
      <w:pPr>
        <w:jc w:val="both"/>
        <w:rPr>
          <w:sz w:val="24"/>
        </w:rPr>
      </w:pPr>
    </w:p>
    <w:p w14:paraId="3AAFD123" w14:textId="05F70E2D" w:rsidR="00723C0A" w:rsidRDefault="00723C0A" w:rsidP="00E25079">
      <w:pPr>
        <w:jc w:val="both"/>
        <w:rPr>
          <w:sz w:val="24"/>
        </w:rPr>
      </w:pPr>
    </w:p>
    <w:p w14:paraId="71E77B62" w14:textId="77777777" w:rsidR="00723C0A" w:rsidRDefault="00723C0A" w:rsidP="00E25079">
      <w:pPr>
        <w:jc w:val="both"/>
        <w:rPr>
          <w:sz w:val="24"/>
        </w:rPr>
      </w:pPr>
    </w:p>
    <w:p w14:paraId="0E8C7C6C" w14:textId="77777777" w:rsidR="00E25079" w:rsidRDefault="00E25079" w:rsidP="00E25079">
      <w:pPr>
        <w:jc w:val="both"/>
        <w:rPr>
          <w:sz w:val="24"/>
        </w:rPr>
      </w:pPr>
    </w:p>
    <w:p w14:paraId="64062511" w14:textId="6F272591" w:rsidR="00E25079" w:rsidRPr="00843647" w:rsidRDefault="00D649F8" w:rsidP="00D649F8">
      <w:pPr>
        <w:jc w:val="both"/>
        <w:rPr>
          <w:sz w:val="24"/>
          <w:szCs w:val="24"/>
        </w:rPr>
      </w:pPr>
      <w:r>
        <w:rPr>
          <w:noProof/>
          <w:sz w:val="24"/>
          <w:szCs w:val="24"/>
        </w:rPr>
        <w:lastRenderedPageBreak/>
        <w:drawing>
          <wp:inline distT="0" distB="0" distL="0" distR="0" wp14:anchorId="7C884CBE" wp14:editId="0B62FA40">
            <wp:extent cx="4702810" cy="8229600"/>
            <wp:effectExtent l="0" t="0" r="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ubmission CIR Sup Figure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2810" cy="8229600"/>
                    </a:xfrm>
                    <a:prstGeom prst="rect">
                      <a:avLst/>
                    </a:prstGeom>
                  </pic:spPr>
                </pic:pic>
              </a:graphicData>
            </a:graphic>
          </wp:inline>
        </w:drawing>
      </w:r>
    </w:p>
    <w:p w14:paraId="5AC8E374" w14:textId="721BB46F" w:rsidR="00E25079" w:rsidRPr="006F2FE5" w:rsidRDefault="00E25079" w:rsidP="00E25079">
      <w:pPr>
        <w:jc w:val="both"/>
        <w:rPr>
          <w:b/>
          <w:bCs/>
          <w:sz w:val="24"/>
        </w:rPr>
      </w:pPr>
      <w:r w:rsidRPr="00C9772B">
        <w:rPr>
          <w:b/>
          <w:bCs/>
          <w:sz w:val="24"/>
          <w:szCs w:val="24"/>
        </w:rPr>
        <w:lastRenderedPageBreak/>
        <w:t xml:space="preserve">Supplementary Figure </w:t>
      </w:r>
      <w:r>
        <w:rPr>
          <w:b/>
          <w:bCs/>
          <w:sz w:val="24"/>
          <w:szCs w:val="24"/>
        </w:rPr>
        <w:t>6</w:t>
      </w:r>
      <w:r w:rsidRPr="00C9772B">
        <w:rPr>
          <w:b/>
          <w:bCs/>
          <w:sz w:val="24"/>
          <w:szCs w:val="24"/>
        </w:rPr>
        <w:t xml:space="preserve">. </w:t>
      </w:r>
      <w:r>
        <w:rPr>
          <w:b/>
          <w:bCs/>
          <w:sz w:val="24"/>
          <w:szCs w:val="24"/>
        </w:rPr>
        <w:t xml:space="preserve">Hemolysis assessment and </w:t>
      </w:r>
      <w:r w:rsidR="001D1D5B">
        <w:rPr>
          <w:b/>
          <w:bCs/>
          <w:sz w:val="24"/>
          <w:szCs w:val="24"/>
        </w:rPr>
        <w:t>pharmacodynamic</w:t>
      </w:r>
      <w:r>
        <w:rPr>
          <w:b/>
          <w:bCs/>
          <w:sz w:val="24"/>
          <w:szCs w:val="24"/>
        </w:rPr>
        <w:t xml:space="preserve"> decrease in peripheral B cells following treatment with </w:t>
      </w:r>
      <w:r w:rsidRPr="005B3E23">
        <w:rPr>
          <w:b/>
          <w:bCs/>
          <w:sz w:val="24"/>
        </w:rPr>
        <w:t>SIRPα-Fc-CD40L</w:t>
      </w:r>
      <w:r w:rsidRPr="006F2FE5">
        <w:rPr>
          <w:b/>
          <w:bCs/>
          <w:sz w:val="24"/>
        </w:rPr>
        <w:t>.</w:t>
      </w:r>
    </w:p>
    <w:p w14:paraId="60FA3C02" w14:textId="36A8C7D8" w:rsidR="00D649F8" w:rsidRDefault="001778F6" w:rsidP="001778F6">
      <w:pPr>
        <w:jc w:val="both"/>
        <w:rPr>
          <w:sz w:val="24"/>
          <w:szCs w:val="24"/>
        </w:rPr>
      </w:pPr>
      <w:r>
        <w:rPr>
          <w:sz w:val="24"/>
          <w:szCs w:val="24"/>
        </w:rPr>
        <w:t xml:space="preserve">(A) </w:t>
      </w:r>
      <w:r w:rsidR="00D649F8">
        <w:rPr>
          <w:sz w:val="24"/>
          <w:szCs w:val="24"/>
        </w:rPr>
        <w:t>Example flow cytometry gating for Figure 6B.</w:t>
      </w:r>
    </w:p>
    <w:p w14:paraId="4FE0892E" w14:textId="2E316882" w:rsidR="001778F6" w:rsidRPr="001778F6" w:rsidRDefault="00D649F8" w:rsidP="001778F6">
      <w:pPr>
        <w:jc w:val="both"/>
        <w:rPr>
          <w:sz w:val="24"/>
        </w:rPr>
      </w:pPr>
      <w:r>
        <w:rPr>
          <w:sz w:val="24"/>
          <w:szCs w:val="24"/>
        </w:rPr>
        <w:t xml:space="preserve">(B) </w:t>
      </w:r>
      <w:r w:rsidR="001778F6" w:rsidRPr="00291FD4">
        <w:rPr>
          <w:i/>
          <w:iCs/>
          <w:sz w:val="24"/>
        </w:rPr>
        <w:t>In vitro</w:t>
      </w:r>
      <w:r w:rsidR="001778F6">
        <w:rPr>
          <w:sz w:val="24"/>
        </w:rPr>
        <w:t xml:space="preserve"> hemolysis assay using human donor RBCs treated with a titration of the positive control Triton X-100, a CD47 blocking antibody previously shown to induce RBC lysis (clone CC2C6), and a titration of 3 separate lots of SIRP</w:t>
      </w:r>
      <w:r w:rsidR="001778F6" w:rsidRPr="00730A3E">
        <w:rPr>
          <w:sz w:val="24"/>
        </w:rPr>
        <w:t>α</w:t>
      </w:r>
      <w:r w:rsidR="001778F6">
        <w:rPr>
          <w:sz w:val="24"/>
        </w:rPr>
        <w:t xml:space="preserve">-Fc-CD40L.  </w:t>
      </w:r>
    </w:p>
    <w:p w14:paraId="0FDC9057" w14:textId="2B402DAC" w:rsidR="00E25079" w:rsidRDefault="00E25079" w:rsidP="00E25079">
      <w:pPr>
        <w:jc w:val="both"/>
        <w:rPr>
          <w:sz w:val="24"/>
          <w:szCs w:val="24"/>
        </w:rPr>
      </w:pPr>
      <w:r>
        <w:rPr>
          <w:sz w:val="24"/>
          <w:szCs w:val="24"/>
        </w:rPr>
        <w:t>(</w:t>
      </w:r>
      <w:r w:rsidR="00D649F8">
        <w:rPr>
          <w:sz w:val="24"/>
          <w:szCs w:val="24"/>
        </w:rPr>
        <w:t>C</w:t>
      </w:r>
      <w:r>
        <w:rPr>
          <w:sz w:val="24"/>
          <w:szCs w:val="24"/>
        </w:rPr>
        <w:t xml:space="preserve">) A decrease in overall CD45+ peripheral lymphocytes </w:t>
      </w:r>
      <w:proofErr w:type="gramStart"/>
      <w:r>
        <w:rPr>
          <w:sz w:val="24"/>
          <w:szCs w:val="24"/>
        </w:rPr>
        <w:t>was</w:t>
      </w:r>
      <w:proofErr w:type="gramEnd"/>
      <w:r>
        <w:rPr>
          <w:sz w:val="24"/>
          <w:szCs w:val="24"/>
        </w:rPr>
        <w:t xml:space="preserve"> observed 24 h following a single IP injection of </w:t>
      </w:r>
      <w:proofErr w:type="spellStart"/>
      <w:r>
        <w:rPr>
          <w:sz w:val="24"/>
          <w:szCs w:val="24"/>
        </w:rPr>
        <w:t>mSIRP</w:t>
      </w:r>
      <w:proofErr w:type="spellEnd"/>
      <w:r w:rsidRPr="00B3186C">
        <w:rPr>
          <w:rFonts w:ascii="Symbol" w:hAnsi="Symbol"/>
          <w:sz w:val="24"/>
          <w:szCs w:val="24"/>
        </w:rPr>
        <w:t></w:t>
      </w:r>
      <w:r>
        <w:rPr>
          <w:sz w:val="24"/>
          <w:szCs w:val="24"/>
        </w:rPr>
        <w:t xml:space="preserve">-Fc-CD40L (300 </w:t>
      </w:r>
      <w:r w:rsidRPr="00B3186C">
        <w:rPr>
          <w:rFonts w:ascii="Symbol" w:hAnsi="Symbol"/>
          <w:sz w:val="24"/>
          <w:szCs w:val="24"/>
        </w:rPr>
        <w:t></w:t>
      </w:r>
      <w:r>
        <w:rPr>
          <w:sz w:val="24"/>
          <w:szCs w:val="24"/>
        </w:rPr>
        <w:t>g).</w:t>
      </w:r>
    </w:p>
    <w:p w14:paraId="1B9A1C38" w14:textId="1A4D5B8E" w:rsidR="00E25079" w:rsidRDefault="00E25079" w:rsidP="00E25079">
      <w:pPr>
        <w:jc w:val="both"/>
        <w:rPr>
          <w:sz w:val="24"/>
        </w:rPr>
      </w:pPr>
      <w:r>
        <w:rPr>
          <w:sz w:val="24"/>
          <w:szCs w:val="24"/>
        </w:rPr>
        <w:t>(</w:t>
      </w:r>
      <w:r w:rsidR="00D649F8">
        <w:rPr>
          <w:sz w:val="24"/>
          <w:szCs w:val="24"/>
        </w:rPr>
        <w:t>D</w:t>
      </w:r>
      <w:r>
        <w:rPr>
          <w:sz w:val="24"/>
          <w:szCs w:val="24"/>
        </w:rPr>
        <w:t xml:space="preserve">) Peripheral blood was isolated from mice receiving 3 IP doses (300 </w:t>
      </w:r>
      <w:r w:rsidRPr="005B3E23">
        <w:rPr>
          <w:rFonts w:ascii="Symbol" w:hAnsi="Symbol"/>
          <w:sz w:val="24"/>
          <w:szCs w:val="24"/>
        </w:rPr>
        <w:t></w:t>
      </w:r>
      <w:r>
        <w:rPr>
          <w:sz w:val="24"/>
          <w:szCs w:val="24"/>
        </w:rPr>
        <w:t xml:space="preserve">g) of the murine </w:t>
      </w:r>
      <w:r>
        <w:rPr>
          <w:sz w:val="24"/>
        </w:rPr>
        <w:t>SIRP</w:t>
      </w:r>
      <w:r w:rsidRPr="00730A3E">
        <w:rPr>
          <w:sz w:val="24"/>
        </w:rPr>
        <w:t>α</w:t>
      </w:r>
      <w:r>
        <w:rPr>
          <w:sz w:val="24"/>
        </w:rPr>
        <w:t xml:space="preserve">-Fc-CD40L surrogate (arrows). Cell populations were assessed by flow cytometry and included CD20+ B cells, CD11C+, CD4+/CD11c+, and CD8+/CD11c+ dendritic cells.  No significant differences were observed in mice treated with an interferon alpha receptor 1 depleting antibody (anti-IFNAR1). </w:t>
      </w:r>
    </w:p>
    <w:p w14:paraId="3B2CB0BC" w14:textId="384553AA" w:rsidR="00723C0A" w:rsidRDefault="00723C0A" w:rsidP="00E25079">
      <w:pPr>
        <w:jc w:val="both"/>
        <w:rPr>
          <w:sz w:val="24"/>
          <w:szCs w:val="24"/>
        </w:rPr>
      </w:pPr>
      <w:r>
        <w:rPr>
          <w:sz w:val="24"/>
        </w:rPr>
        <w:t>(</w:t>
      </w:r>
      <w:r w:rsidR="00D649F8">
        <w:rPr>
          <w:sz w:val="24"/>
        </w:rPr>
        <w:t>E</w:t>
      </w:r>
      <w:r>
        <w:rPr>
          <w:sz w:val="24"/>
        </w:rPr>
        <w:t xml:space="preserve">) A decrease in peripheral CD20+ B cells was observed 24 h following a single IP injection of a dose range of </w:t>
      </w:r>
      <w:proofErr w:type="spellStart"/>
      <w:r>
        <w:rPr>
          <w:sz w:val="24"/>
          <w:szCs w:val="24"/>
        </w:rPr>
        <w:t>mSIRP</w:t>
      </w:r>
      <w:proofErr w:type="spellEnd"/>
      <w:r w:rsidRPr="00B3186C">
        <w:rPr>
          <w:rFonts w:ascii="Symbol" w:hAnsi="Symbol"/>
          <w:sz w:val="24"/>
          <w:szCs w:val="24"/>
        </w:rPr>
        <w:t></w:t>
      </w:r>
      <w:r>
        <w:rPr>
          <w:sz w:val="24"/>
          <w:szCs w:val="24"/>
        </w:rPr>
        <w:t>-Fc-CD40L.</w:t>
      </w:r>
    </w:p>
    <w:p w14:paraId="56A7816A" w14:textId="1FC2884F" w:rsidR="00D649F8" w:rsidRPr="005B3E23" w:rsidRDefault="00D649F8" w:rsidP="002756C9">
      <w:pPr>
        <w:jc w:val="both"/>
        <w:rPr>
          <w:sz w:val="24"/>
          <w:szCs w:val="24"/>
        </w:rPr>
      </w:pPr>
      <w:r>
        <w:rPr>
          <w:sz w:val="24"/>
          <w:szCs w:val="24"/>
        </w:rPr>
        <w:t>(F) Example flow cytometry gating for Supplementary Figures 6C-E.</w:t>
      </w:r>
      <w:r w:rsidR="002756C9">
        <w:rPr>
          <w:sz w:val="24"/>
          <w:szCs w:val="24"/>
        </w:rPr>
        <w:t xml:space="preserve">  </w:t>
      </w:r>
    </w:p>
    <w:p w14:paraId="0239562E" w14:textId="65C041E3" w:rsidR="00E25079" w:rsidRDefault="00E25079" w:rsidP="00E25079">
      <w:pPr>
        <w:pStyle w:val="SOMHead"/>
        <w:jc w:val="both"/>
      </w:pPr>
    </w:p>
    <w:p w14:paraId="1B1BA4EA" w14:textId="6483A0BE" w:rsidR="005620DC" w:rsidRDefault="005620DC" w:rsidP="001C7743">
      <w:pPr>
        <w:rPr>
          <w:sz w:val="24"/>
          <w:szCs w:val="24"/>
        </w:rPr>
      </w:pPr>
      <w:r>
        <w:rPr>
          <w:b/>
          <w:bCs/>
          <w:sz w:val="24"/>
          <w:szCs w:val="24"/>
        </w:rPr>
        <w:t xml:space="preserve">Supplementary Table 1: </w:t>
      </w:r>
      <w:r>
        <w:rPr>
          <w:sz w:val="24"/>
          <w:szCs w:val="24"/>
        </w:rPr>
        <w:t>Murine SIRPα-Fc-CD40L Sequences</w:t>
      </w:r>
    </w:p>
    <w:p w14:paraId="28BA903C" w14:textId="183C2744" w:rsidR="005620DC" w:rsidRDefault="005620DC" w:rsidP="001C7743">
      <w:pPr>
        <w:rPr>
          <w:sz w:val="24"/>
          <w:szCs w:val="24"/>
        </w:rPr>
      </w:pPr>
    </w:p>
    <w:tbl>
      <w:tblPr>
        <w:tblStyle w:val="TableGrid"/>
        <w:tblW w:w="0" w:type="auto"/>
        <w:tblLayout w:type="fixed"/>
        <w:tblLook w:val="04A0" w:firstRow="1" w:lastRow="0" w:firstColumn="1" w:lastColumn="0" w:noHBand="0" w:noVBand="1"/>
      </w:tblPr>
      <w:tblGrid>
        <w:gridCol w:w="2605"/>
        <w:gridCol w:w="6745"/>
      </w:tblGrid>
      <w:tr w:rsidR="005620DC" w14:paraId="593BEE1B" w14:textId="77777777" w:rsidTr="00B47885">
        <w:tc>
          <w:tcPr>
            <w:tcW w:w="2605" w:type="dxa"/>
          </w:tcPr>
          <w:p w14:paraId="2E0B05DF" w14:textId="22F093FF" w:rsidR="005620DC" w:rsidRDefault="005620DC" w:rsidP="001C7743">
            <w:pPr>
              <w:rPr>
                <w:sz w:val="24"/>
                <w:szCs w:val="24"/>
              </w:rPr>
            </w:pPr>
            <w:proofErr w:type="spellStart"/>
            <w:r>
              <w:rPr>
                <w:sz w:val="24"/>
                <w:szCs w:val="24"/>
              </w:rPr>
              <w:t>mSIRP</w:t>
            </w:r>
            <w:proofErr w:type="spellEnd"/>
            <w:r>
              <w:rPr>
                <w:sz w:val="24"/>
                <w:szCs w:val="24"/>
              </w:rPr>
              <w:t>α</w:t>
            </w:r>
            <w:r w:rsidR="00B47885">
              <w:rPr>
                <w:sz w:val="24"/>
                <w:szCs w:val="24"/>
              </w:rPr>
              <w:t xml:space="preserve"> ECD</w:t>
            </w:r>
          </w:p>
        </w:tc>
        <w:tc>
          <w:tcPr>
            <w:tcW w:w="6745" w:type="dxa"/>
          </w:tcPr>
          <w:p w14:paraId="77ECF9E6" w14:textId="565B861A" w:rsidR="005620DC" w:rsidRPr="00B47885" w:rsidRDefault="00ED4EA7" w:rsidP="00C64F5F">
            <w:pPr>
              <w:rPr>
                <w:rFonts w:asciiTheme="minorHAnsi" w:hAnsiTheme="minorHAnsi" w:cstheme="minorHAnsi"/>
                <w:sz w:val="22"/>
                <w:szCs w:val="22"/>
              </w:rPr>
            </w:pPr>
            <w:r w:rsidRPr="00ED4EA7">
              <w:rPr>
                <w:rFonts w:asciiTheme="minorHAnsi" w:hAnsiTheme="minorHAnsi" w:cstheme="minorHAnsi"/>
                <w:sz w:val="22"/>
                <w:szCs w:val="22"/>
              </w:rPr>
              <w:t>KELKVTQPEKSVSVAAGDSTVLNCTLTSLLPVGPIRWYRGVGPSRLLIYSFAGEYVPRIRNVSDTTKRNNMDFSIRISNVTPADAGIYYCVKFQKGSSEPDTEIQSGGGTEVYVLAKPSPPEVSGPADRGIPDQKVNFTCKSHGFSPRNITLKWFKDGQELHPLETTVNPSGKNVSYNISSTVRVVLNSMDVNSKVICEVAHITLDRSPLRGIANLSNFIRVSPTVKVTQQSPTSMNQVNLTCRAERFYPEDLQLIWLENGNVSRNDTPKNLTKNTDGTYNYTSLFLVNSSAHREDVVFTCQVKHDQQPAITRNHTVLGFAHSSDQGSMQTFPDNNATHNWN</w:t>
            </w:r>
          </w:p>
        </w:tc>
      </w:tr>
      <w:tr w:rsidR="00B47885" w14:paraId="3A7E874C" w14:textId="77777777" w:rsidTr="00B47885">
        <w:tc>
          <w:tcPr>
            <w:tcW w:w="2605" w:type="dxa"/>
          </w:tcPr>
          <w:p w14:paraId="182AD1AD" w14:textId="327F38F7" w:rsidR="00B47885" w:rsidRDefault="00B47885" w:rsidP="001C7743">
            <w:pPr>
              <w:rPr>
                <w:sz w:val="24"/>
                <w:szCs w:val="24"/>
              </w:rPr>
            </w:pPr>
            <w:r>
              <w:rPr>
                <w:sz w:val="24"/>
                <w:szCs w:val="24"/>
              </w:rPr>
              <w:t>mhinge-CD2-CD3</w:t>
            </w:r>
          </w:p>
        </w:tc>
        <w:tc>
          <w:tcPr>
            <w:tcW w:w="6745" w:type="dxa"/>
          </w:tcPr>
          <w:p w14:paraId="3DBA98A3" w14:textId="4811C704" w:rsidR="00B47885" w:rsidRPr="00B47885" w:rsidRDefault="00ED4EA7" w:rsidP="00C64F5F">
            <w:pPr>
              <w:rPr>
                <w:rFonts w:asciiTheme="minorHAnsi" w:eastAsiaTheme="minorHAnsi" w:hAnsiTheme="minorHAnsi" w:cstheme="minorHAnsi"/>
                <w:color w:val="000000"/>
                <w:sz w:val="22"/>
                <w:szCs w:val="22"/>
              </w:rPr>
            </w:pPr>
            <w:r w:rsidRPr="00ED4EA7">
              <w:rPr>
                <w:rFonts w:asciiTheme="minorHAnsi" w:eastAsiaTheme="minorHAnsi" w:hAnsiTheme="minorHAnsi" w:cstheme="minorHAnsi"/>
                <w:color w:val="000000"/>
                <w:sz w:val="22"/>
                <w:szCs w:val="22"/>
              </w:rPr>
              <w:t>VPRDCGCKPCICTVPEVSSVFIFPPKPKDVLTITLTPKVTCVVVDISKDDPEVQFSWFVDDVEVHTAQTQPREEQFNSTFRSVSELPIMHQDWLNGKEFKCRVNSAAFPAPIEKTISKTKGRPKAPQVYTIPPPKEQMAKDKVSLTCMITDFFPEDITVEWQWNGQPAENYKNTQPIMNTNGSYFVYSKLNVQKSNWEAGNTFTCSVLHEGLHNHHTEKSLSHSPGK</w:t>
            </w:r>
          </w:p>
        </w:tc>
      </w:tr>
      <w:tr w:rsidR="00B47885" w14:paraId="6F3A9CAC" w14:textId="77777777" w:rsidTr="00B47885">
        <w:tc>
          <w:tcPr>
            <w:tcW w:w="2605" w:type="dxa"/>
          </w:tcPr>
          <w:p w14:paraId="193D1D2E" w14:textId="526FF992" w:rsidR="00B47885" w:rsidRDefault="00B47885" w:rsidP="001C7743">
            <w:pPr>
              <w:rPr>
                <w:sz w:val="24"/>
                <w:szCs w:val="24"/>
              </w:rPr>
            </w:pPr>
            <w:r>
              <w:rPr>
                <w:sz w:val="24"/>
                <w:szCs w:val="24"/>
              </w:rPr>
              <w:t>mCD40L ECD</w:t>
            </w:r>
          </w:p>
        </w:tc>
        <w:tc>
          <w:tcPr>
            <w:tcW w:w="6745" w:type="dxa"/>
          </w:tcPr>
          <w:p w14:paraId="589535B7" w14:textId="22BD23DC" w:rsidR="00B47885" w:rsidRPr="00B47885" w:rsidRDefault="00ED4EA7" w:rsidP="00C64F5F">
            <w:pPr>
              <w:rPr>
                <w:rFonts w:asciiTheme="minorHAnsi" w:eastAsiaTheme="minorHAnsi" w:hAnsiTheme="minorHAnsi" w:cstheme="minorHAnsi"/>
                <w:color w:val="000000"/>
                <w:sz w:val="22"/>
                <w:szCs w:val="22"/>
              </w:rPr>
            </w:pPr>
            <w:r w:rsidRPr="00ED4EA7">
              <w:rPr>
                <w:rFonts w:asciiTheme="minorHAnsi" w:eastAsiaTheme="minorHAnsi" w:hAnsiTheme="minorHAnsi" w:cstheme="minorHAnsi"/>
                <w:color w:val="000000"/>
                <w:sz w:val="22"/>
                <w:szCs w:val="22"/>
              </w:rPr>
              <w:t>HRRLDKVEEEVNLHEDFVFIKKLKRCNKGEGSLSLLNCEEMRRQFEDLVKDITLNKEEKKENSFEMQRGDEDPQIAAHVVSEANSNAASVLQWAKKGYYTMKSNLVMLENGKQLTVKREGLYYVYTQVTFCSNREPSSQRPFIVGLWLKPSSGSERILLKAANTHSSSQLCEQQSVHLGG</w:t>
            </w:r>
            <w:bookmarkStart w:id="0" w:name="_GoBack"/>
            <w:bookmarkEnd w:id="0"/>
            <w:r w:rsidRPr="00ED4EA7">
              <w:rPr>
                <w:rFonts w:asciiTheme="minorHAnsi" w:eastAsiaTheme="minorHAnsi" w:hAnsiTheme="minorHAnsi" w:cstheme="minorHAnsi"/>
                <w:color w:val="000000"/>
                <w:sz w:val="22"/>
                <w:szCs w:val="22"/>
              </w:rPr>
              <w:t>VFELQAGASVFVNVTEASQVIHRVGFSSFGLLKL</w:t>
            </w:r>
          </w:p>
        </w:tc>
      </w:tr>
      <w:tr w:rsidR="005620DC" w14:paraId="4ADA78EE" w14:textId="77777777" w:rsidTr="00B47885">
        <w:tc>
          <w:tcPr>
            <w:tcW w:w="2605" w:type="dxa"/>
          </w:tcPr>
          <w:p w14:paraId="6B2A5DE5" w14:textId="2E8494EC" w:rsidR="005620DC" w:rsidRDefault="00B47885" w:rsidP="001C7743">
            <w:pPr>
              <w:rPr>
                <w:sz w:val="24"/>
                <w:szCs w:val="24"/>
              </w:rPr>
            </w:pPr>
            <w:proofErr w:type="spellStart"/>
            <w:r>
              <w:rPr>
                <w:sz w:val="24"/>
                <w:szCs w:val="24"/>
              </w:rPr>
              <w:t>hSIRP</w:t>
            </w:r>
            <w:proofErr w:type="spellEnd"/>
            <w:r>
              <w:rPr>
                <w:sz w:val="24"/>
                <w:szCs w:val="24"/>
              </w:rPr>
              <w:t>α ECD</w:t>
            </w:r>
          </w:p>
        </w:tc>
        <w:tc>
          <w:tcPr>
            <w:tcW w:w="6745" w:type="dxa"/>
          </w:tcPr>
          <w:p w14:paraId="5360FD19" w14:textId="4468A3F3" w:rsidR="005620DC" w:rsidRPr="00B47885" w:rsidRDefault="00B47885" w:rsidP="00B47885">
            <w:pPr>
              <w:rPr>
                <w:rFonts w:asciiTheme="minorHAnsi" w:hAnsiTheme="minorHAnsi" w:cstheme="minorHAnsi"/>
                <w:sz w:val="22"/>
                <w:szCs w:val="22"/>
              </w:rPr>
            </w:pPr>
            <w:r w:rsidRPr="00B47885">
              <w:rPr>
                <w:rFonts w:asciiTheme="minorHAnsi" w:hAnsiTheme="minorHAnsi" w:cstheme="minorHAnsi"/>
                <w:sz w:val="22"/>
                <w:szCs w:val="22"/>
              </w:rPr>
              <w:t>EEELQVIQPDKSVLVAAGETATLRCTATSLIPVGPIQWFRGAGPGRELIYNQKEGHFPRVTTVSDLTKRNNMDFSIRIGNITPADAGTYYCVKFRKGSPDDVEFKSGAGTELSVRAKPSAPVVSGPAARATPQHTVSFTCESHGFSPRDITLKWFKNGNELSDFQTNVDPVGESVSYSIHSTAKVVLTREDVHSQVICEVAHVTLQGDPLRGTANLSETIRVPPTLEVTQQPVRAENQVNVTCQVRKFYPQRLQLTWLENGNVSRTETASTVTENKDGTYNWMSWLLVNVSAHRDDVKLTCQVEHDGQPAVSKSHDLKVSAHPKEQGSNTAAENTGSNERNIY</w:t>
            </w:r>
          </w:p>
        </w:tc>
      </w:tr>
      <w:tr w:rsidR="00B47885" w14:paraId="6384CB4B" w14:textId="77777777" w:rsidTr="00B47885">
        <w:tc>
          <w:tcPr>
            <w:tcW w:w="2605" w:type="dxa"/>
          </w:tcPr>
          <w:p w14:paraId="3CFBABBF" w14:textId="3729207A" w:rsidR="00B47885" w:rsidRDefault="00B47885" w:rsidP="001C7743">
            <w:pPr>
              <w:rPr>
                <w:sz w:val="24"/>
                <w:szCs w:val="24"/>
              </w:rPr>
            </w:pPr>
            <w:r>
              <w:rPr>
                <w:sz w:val="24"/>
                <w:szCs w:val="24"/>
              </w:rPr>
              <w:t>hIgG4 hinge-CH2-CH3</w:t>
            </w:r>
          </w:p>
        </w:tc>
        <w:tc>
          <w:tcPr>
            <w:tcW w:w="6745" w:type="dxa"/>
          </w:tcPr>
          <w:p w14:paraId="1DF88EA3" w14:textId="5E6E8C80" w:rsidR="00B47885" w:rsidRPr="00B47885" w:rsidRDefault="00B47885" w:rsidP="00B47885">
            <w:pPr>
              <w:rPr>
                <w:rFonts w:asciiTheme="minorHAnsi" w:hAnsiTheme="minorHAnsi" w:cstheme="minorHAnsi"/>
                <w:sz w:val="22"/>
                <w:szCs w:val="22"/>
              </w:rPr>
            </w:pPr>
            <w:r w:rsidRPr="00B47885">
              <w:rPr>
                <w:rFonts w:asciiTheme="minorHAnsi" w:hAnsiTheme="minorHAnsi" w:cstheme="minorHAnsi"/>
                <w:sz w:val="22"/>
                <w:szCs w:val="22"/>
              </w:rPr>
              <w:t>ESKYGPPCPSCPAPEFLGGPSVFLFPPKPKDTLMISRTPEVTCVVVDVSQEDPEVQFNWYVDGVEVHNAKTKPREEQFNSTYRVVSVLTVLHQDWLNGKEYKCKVSNKGLPSSIEKTISKAKGQPREPQVYTLPPSQEEMTKNQVSLTCLVKGFYPSDIAVEWES</w:t>
            </w:r>
            <w:r w:rsidRPr="00B47885">
              <w:rPr>
                <w:rFonts w:asciiTheme="minorHAnsi" w:hAnsiTheme="minorHAnsi" w:cstheme="minorHAnsi"/>
                <w:sz w:val="22"/>
                <w:szCs w:val="22"/>
              </w:rPr>
              <w:lastRenderedPageBreak/>
              <w:t>NGQPENNYKTTPPVLDSDGSFFLYSRLTVDKSRWQEGNVFSCSVMHEALHNHYTQKSLSLSLGK</w:t>
            </w:r>
          </w:p>
        </w:tc>
      </w:tr>
      <w:tr w:rsidR="00B47885" w14:paraId="588AF223" w14:textId="77777777" w:rsidTr="00B47885">
        <w:tc>
          <w:tcPr>
            <w:tcW w:w="2605" w:type="dxa"/>
          </w:tcPr>
          <w:p w14:paraId="615C3CD1" w14:textId="2A432A97" w:rsidR="00B47885" w:rsidRDefault="00B47885" w:rsidP="001C7743">
            <w:pPr>
              <w:rPr>
                <w:sz w:val="24"/>
                <w:szCs w:val="24"/>
              </w:rPr>
            </w:pPr>
            <w:r>
              <w:rPr>
                <w:sz w:val="24"/>
                <w:szCs w:val="24"/>
              </w:rPr>
              <w:lastRenderedPageBreak/>
              <w:t>hCD40L ECD</w:t>
            </w:r>
          </w:p>
        </w:tc>
        <w:tc>
          <w:tcPr>
            <w:tcW w:w="6745" w:type="dxa"/>
          </w:tcPr>
          <w:p w14:paraId="2A9606AD" w14:textId="45009712" w:rsidR="00B47885" w:rsidRPr="00B47885" w:rsidRDefault="00B47885" w:rsidP="00B47885">
            <w:pPr>
              <w:rPr>
                <w:rFonts w:asciiTheme="minorHAnsi" w:hAnsiTheme="minorHAnsi" w:cstheme="minorHAnsi"/>
                <w:sz w:val="22"/>
                <w:szCs w:val="22"/>
              </w:rPr>
            </w:pPr>
            <w:r w:rsidRPr="00B47885">
              <w:rPr>
                <w:rFonts w:asciiTheme="minorHAnsi" w:hAnsiTheme="minorHAnsi" w:cstheme="minorHAnsi"/>
                <w:sz w:val="22"/>
                <w:szCs w:val="22"/>
              </w:rPr>
              <w:t>HRRLDKIEDERNLHEDFVFMKTIQRCNTGERSLSLLNCEEIKSQFEGFVKDIMLNKEETKKENSFEMQKGDQNPQIAAHVISEASSKTTSVLQWAEKGYYTMSNNLVTLENGKQLTVKRQGLYYIYAQVTFCSNREASSQAPFIASLCLKSPGRFERILLRAANTHSSAKPCGQQSIHLGGVFELQPGASVFVNVTDPSQVSHGTGFTSFGLLKL</w:t>
            </w:r>
          </w:p>
        </w:tc>
      </w:tr>
    </w:tbl>
    <w:p w14:paraId="56BB0A88" w14:textId="77777777" w:rsidR="005620DC" w:rsidRPr="005620DC" w:rsidRDefault="005620DC" w:rsidP="001C7743">
      <w:pPr>
        <w:rPr>
          <w:sz w:val="24"/>
          <w:szCs w:val="24"/>
        </w:rPr>
      </w:pPr>
    </w:p>
    <w:p w14:paraId="23DCEABB" w14:textId="77777777" w:rsidR="005620DC" w:rsidRDefault="005620DC" w:rsidP="001C7743">
      <w:pPr>
        <w:rPr>
          <w:b/>
          <w:bCs/>
          <w:sz w:val="24"/>
          <w:szCs w:val="24"/>
        </w:rPr>
      </w:pPr>
    </w:p>
    <w:p w14:paraId="7D6F4313" w14:textId="0E450EC5" w:rsidR="00AF3E34" w:rsidRDefault="00AF3E34" w:rsidP="001C7743">
      <w:pPr>
        <w:rPr>
          <w:sz w:val="24"/>
          <w:szCs w:val="24"/>
        </w:rPr>
      </w:pPr>
      <w:r>
        <w:rPr>
          <w:b/>
          <w:bCs/>
          <w:sz w:val="24"/>
          <w:szCs w:val="24"/>
        </w:rPr>
        <w:t xml:space="preserve">Supplemental Table </w:t>
      </w:r>
      <w:r w:rsidR="005620DC">
        <w:rPr>
          <w:b/>
          <w:bCs/>
          <w:sz w:val="24"/>
          <w:szCs w:val="24"/>
        </w:rPr>
        <w:t>2</w:t>
      </w:r>
      <w:r>
        <w:rPr>
          <w:b/>
          <w:bCs/>
          <w:sz w:val="24"/>
          <w:szCs w:val="24"/>
        </w:rPr>
        <w:t xml:space="preserve">: </w:t>
      </w:r>
      <w:r>
        <w:rPr>
          <w:sz w:val="24"/>
          <w:szCs w:val="24"/>
        </w:rPr>
        <w:t>Binding affinity as measured by surface plasmon resonance</w:t>
      </w:r>
    </w:p>
    <w:p w14:paraId="657BCE3D" w14:textId="77777777" w:rsidR="00AF3E34" w:rsidRPr="00AF3E34" w:rsidRDefault="00AF3E34" w:rsidP="001C7743">
      <w:pPr>
        <w:rPr>
          <w:sz w:val="24"/>
          <w:szCs w:val="24"/>
        </w:rPr>
      </w:pPr>
    </w:p>
    <w:p w14:paraId="6717D659" w14:textId="642AE65A" w:rsidR="00AF3E34" w:rsidRDefault="00AF3E34" w:rsidP="001C7743">
      <w:pPr>
        <w:rPr>
          <w:b/>
          <w:bCs/>
          <w:sz w:val="24"/>
          <w:szCs w:val="24"/>
        </w:rPr>
      </w:pPr>
      <w:r>
        <w:rPr>
          <w:b/>
          <w:bCs/>
          <w:noProof/>
          <w:sz w:val="24"/>
          <w:szCs w:val="24"/>
        </w:rPr>
        <w:drawing>
          <wp:inline distT="0" distB="0" distL="0" distR="0" wp14:anchorId="52C56D31" wp14:editId="7753F6A3">
            <wp:extent cx="4085667" cy="223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671"/>
                    <a:stretch/>
                  </pic:blipFill>
                  <pic:spPr bwMode="auto">
                    <a:xfrm>
                      <a:off x="0" y="0"/>
                      <a:ext cx="4106661" cy="2249239"/>
                    </a:xfrm>
                    <a:prstGeom prst="rect">
                      <a:avLst/>
                    </a:prstGeom>
                    <a:noFill/>
                    <a:ln>
                      <a:noFill/>
                    </a:ln>
                    <a:extLst>
                      <a:ext uri="{53640926-AAD7-44D8-BBD7-CCE9431645EC}">
                        <a14:shadowObscured xmlns:a14="http://schemas.microsoft.com/office/drawing/2010/main"/>
                      </a:ext>
                    </a:extLst>
                  </pic:spPr>
                </pic:pic>
              </a:graphicData>
            </a:graphic>
          </wp:inline>
        </w:drawing>
      </w:r>
    </w:p>
    <w:p w14:paraId="0E26603C" w14:textId="77777777" w:rsidR="00AF3E34" w:rsidRDefault="00AF3E34" w:rsidP="001C7743">
      <w:pPr>
        <w:rPr>
          <w:b/>
          <w:bCs/>
          <w:sz w:val="24"/>
          <w:szCs w:val="24"/>
        </w:rPr>
      </w:pPr>
    </w:p>
    <w:p w14:paraId="70AD7778" w14:textId="5F7D49C3" w:rsidR="001C7743" w:rsidRPr="001C7743" w:rsidRDefault="001C7743" w:rsidP="001C7743">
      <w:pPr>
        <w:rPr>
          <w:sz w:val="24"/>
          <w:szCs w:val="24"/>
        </w:rPr>
      </w:pPr>
      <w:r w:rsidRPr="001C7743">
        <w:rPr>
          <w:b/>
          <w:bCs/>
          <w:sz w:val="24"/>
          <w:szCs w:val="24"/>
        </w:rPr>
        <w:t xml:space="preserve">Supplemental Table </w:t>
      </w:r>
      <w:r w:rsidR="005620DC">
        <w:rPr>
          <w:b/>
          <w:bCs/>
          <w:sz w:val="24"/>
          <w:szCs w:val="24"/>
        </w:rPr>
        <w:t>3</w:t>
      </w:r>
      <w:r w:rsidRPr="001C7743">
        <w:rPr>
          <w:b/>
          <w:bCs/>
          <w:sz w:val="24"/>
          <w:szCs w:val="24"/>
        </w:rPr>
        <w:t xml:space="preserve">: </w:t>
      </w:r>
      <w:r w:rsidRPr="001C7743">
        <w:rPr>
          <w:sz w:val="24"/>
          <w:szCs w:val="24"/>
        </w:rPr>
        <w:t>Maximum fold-change for each indicated cytokine in NHP serum post-infusion as compared to pre-infusion</w:t>
      </w:r>
    </w:p>
    <w:tbl>
      <w:tblPr>
        <w:tblStyle w:val="TableGrid"/>
        <w:tblpPr w:leftFromText="180" w:rightFromText="180" w:vertAnchor="text" w:horzAnchor="margin" w:tblpY="179"/>
        <w:tblW w:w="0" w:type="auto"/>
        <w:tblLook w:val="04A0" w:firstRow="1" w:lastRow="0" w:firstColumn="1" w:lastColumn="0" w:noHBand="0" w:noVBand="1"/>
      </w:tblPr>
      <w:tblGrid>
        <w:gridCol w:w="3116"/>
        <w:gridCol w:w="3117"/>
        <w:gridCol w:w="3117"/>
      </w:tblGrid>
      <w:tr w:rsidR="00AF3E34" w:rsidRPr="001C7743" w14:paraId="1D33D49D" w14:textId="77777777" w:rsidTr="00AF3E34">
        <w:tc>
          <w:tcPr>
            <w:tcW w:w="3116" w:type="dxa"/>
          </w:tcPr>
          <w:p w14:paraId="71A84089" w14:textId="77777777" w:rsidR="00AF3E34" w:rsidRPr="001C7743" w:rsidRDefault="00AF3E34" w:rsidP="00AF3E34">
            <w:pPr>
              <w:rPr>
                <w:sz w:val="24"/>
                <w:szCs w:val="24"/>
              </w:rPr>
            </w:pPr>
          </w:p>
        </w:tc>
        <w:tc>
          <w:tcPr>
            <w:tcW w:w="3117" w:type="dxa"/>
          </w:tcPr>
          <w:p w14:paraId="5EC0B1CB" w14:textId="77777777" w:rsidR="00AF3E34" w:rsidRPr="001C7743" w:rsidRDefault="00AF3E34" w:rsidP="00AF3E34">
            <w:pPr>
              <w:rPr>
                <w:b/>
                <w:bCs/>
                <w:sz w:val="24"/>
                <w:szCs w:val="24"/>
              </w:rPr>
            </w:pPr>
            <w:r w:rsidRPr="001C7743">
              <w:rPr>
                <w:b/>
                <w:bCs/>
                <w:sz w:val="24"/>
                <w:szCs w:val="24"/>
              </w:rPr>
              <w:t>Vehicle</w:t>
            </w:r>
          </w:p>
        </w:tc>
        <w:tc>
          <w:tcPr>
            <w:tcW w:w="3117" w:type="dxa"/>
          </w:tcPr>
          <w:p w14:paraId="2171937D" w14:textId="77777777" w:rsidR="00AF3E34" w:rsidRPr="001C7743" w:rsidRDefault="00AF3E34" w:rsidP="00AF3E34">
            <w:pPr>
              <w:rPr>
                <w:b/>
                <w:bCs/>
                <w:sz w:val="24"/>
                <w:szCs w:val="24"/>
              </w:rPr>
            </w:pPr>
            <w:proofErr w:type="spellStart"/>
            <w:r w:rsidRPr="001C7743">
              <w:rPr>
                <w:b/>
                <w:bCs/>
                <w:sz w:val="24"/>
                <w:szCs w:val="24"/>
              </w:rPr>
              <w:t>hSIRP</w:t>
            </w:r>
            <w:proofErr w:type="spellEnd"/>
            <w:r w:rsidRPr="001C7743">
              <w:rPr>
                <w:rFonts w:cstheme="minorHAnsi"/>
                <w:b/>
                <w:bCs/>
                <w:sz w:val="24"/>
                <w:szCs w:val="24"/>
              </w:rPr>
              <w:t>α</w:t>
            </w:r>
            <w:r w:rsidRPr="001C7743">
              <w:rPr>
                <w:b/>
                <w:bCs/>
                <w:sz w:val="24"/>
                <w:szCs w:val="24"/>
              </w:rPr>
              <w:t>-Fc-CD40L</w:t>
            </w:r>
          </w:p>
        </w:tc>
      </w:tr>
      <w:tr w:rsidR="00AF3E34" w:rsidRPr="001C7743" w14:paraId="57E5F4BF" w14:textId="77777777" w:rsidTr="00AF3E34">
        <w:tc>
          <w:tcPr>
            <w:tcW w:w="3116" w:type="dxa"/>
          </w:tcPr>
          <w:p w14:paraId="68705955" w14:textId="77777777" w:rsidR="00AF3E34" w:rsidRPr="001C7743" w:rsidRDefault="00AF3E34" w:rsidP="00AF3E34">
            <w:pPr>
              <w:rPr>
                <w:sz w:val="24"/>
                <w:szCs w:val="24"/>
              </w:rPr>
            </w:pPr>
            <w:r w:rsidRPr="001C7743">
              <w:rPr>
                <w:sz w:val="24"/>
                <w:szCs w:val="24"/>
              </w:rPr>
              <w:t>CCL2</w:t>
            </w:r>
          </w:p>
        </w:tc>
        <w:tc>
          <w:tcPr>
            <w:tcW w:w="3117" w:type="dxa"/>
          </w:tcPr>
          <w:p w14:paraId="39200AF7" w14:textId="77777777" w:rsidR="00AF3E34" w:rsidRPr="001C7743" w:rsidRDefault="00AF3E34" w:rsidP="00AF3E34">
            <w:pPr>
              <w:rPr>
                <w:sz w:val="24"/>
                <w:szCs w:val="24"/>
              </w:rPr>
            </w:pPr>
            <w:r w:rsidRPr="001C7743">
              <w:rPr>
                <w:sz w:val="24"/>
                <w:szCs w:val="24"/>
              </w:rPr>
              <w:t>2.89</w:t>
            </w:r>
          </w:p>
        </w:tc>
        <w:tc>
          <w:tcPr>
            <w:tcW w:w="3117" w:type="dxa"/>
          </w:tcPr>
          <w:p w14:paraId="1D516D97" w14:textId="77777777" w:rsidR="00AF3E34" w:rsidRPr="001C7743" w:rsidRDefault="00AF3E34" w:rsidP="00AF3E34">
            <w:pPr>
              <w:rPr>
                <w:sz w:val="24"/>
                <w:szCs w:val="24"/>
              </w:rPr>
            </w:pPr>
            <w:r w:rsidRPr="001C7743">
              <w:rPr>
                <w:sz w:val="24"/>
                <w:szCs w:val="24"/>
              </w:rPr>
              <w:t>31.04</w:t>
            </w:r>
          </w:p>
        </w:tc>
      </w:tr>
      <w:tr w:rsidR="00AF3E34" w:rsidRPr="001C7743" w14:paraId="42DB8DB3" w14:textId="77777777" w:rsidTr="00AF3E34">
        <w:tc>
          <w:tcPr>
            <w:tcW w:w="3116" w:type="dxa"/>
          </w:tcPr>
          <w:p w14:paraId="2BEB3AC0" w14:textId="77777777" w:rsidR="00AF3E34" w:rsidRPr="001C7743" w:rsidRDefault="00AF3E34" w:rsidP="00AF3E34">
            <w:pPr>
              <w:rPr>
                <w:sz w:val="24"/>
                <w:szCs w:val="24"/>
              </w:rPr>
            </w:pPr>
            <w:r w:rsidRPr="001C7743">
              <w:rPr>
                <w:sz w:val="24"/>
                <w:szCs w:val="24"/>
              </w:rPr>
              <w:t>CXCL9</w:t>
            </w:r>
          </w:p>
        </w:tc>
        <w:tc>
          <w:tcPr>
            <w:tcW w:w="3117" w:type="dxa"/>
          </w:tcPr>
          <w:p w14:paraId="7A3998C9" w14:textId="77777777" w:rsidR="00AF3E34" w:rsidRPr="001C7743" w:rsidRDefault="00AF3E34" w:rsidP="00AF3E34">
            <w:pPr>
              <w:rPr>
                <w:sz w:val="24"/>
                <w:szCs w:val="24"/>
              </w:rPr>
            </w:pPr>
            <w:r w:rsidRPr="001C7743">
              <w:rPr>
                <w:sz w:val="24"/>
                <w:szCs w:val="24"/>
              </w:rPr>
              <w:t>8.33</w:t>
            </w:r>
          </w:p>
        </w:tc>
        <w:tc>
          <w:tcPr>
            <w:tcW w:w="3117" w:type="dxa"/>
          </w:tcPr>
          <w:p w14:paraId="0EA74A56" w14:textId="77777777" w:rsidR="00AF3E34" w:rsidRPr="001C7743" w:rsidRDefault="00AF3E34" w:rsidP="00AF3E34">
            <w:pPr>
              <w:rPr>
                <w:sz w:val="24"/>
                <w:szCs w:val="24"/>
              </w:rPr>
            </w:pPr>
            <w:r w:rsidRPr="001C7743">
              <w:rPr>
                <w:sz w:val="24"/>
                <w:szCs w:val="24"/>
              </w:rPr>
              <w:t>1482.36</w:t>
            </w:r>
          </w:p>
        </w:tc>
      </w:tr>
      <w:tr w:rsidR="00AF3E34" w:rsidRPr="001C7743" w14:paraId="7602541A" w14:textId="77777777" w:rsidTr="00AF3E34">
        <w:tc>
          <w:tcPr>
            <w:tcW w:w="3116" w:type="dxa"/>
          </w:tcPr>
          <w:p w14:paraId="7BD7D84D" w14:textId="77777777" w:rsidR="00AF3E34" w:rsidRPr="001C7743" w:rsidRDefault="00AF3E34" w:rsidP="00AF3E34">
            <w:pPr>
              <w:rPr>
                <w:sz w:val="24"/>
                <w:szCs w:val="24"/>
              </w:rPr>
            </w:pPr>
            <w:r w:rsidRPr="001C7743">
              <w:rPr>
                <w:sz w:val="24"/>
                <w:szCs w:val="24"/>
              </w:rPr>
              <w:t>CXCL10</w:t>
            </w:r>
          </w:p>
        </w:tc>
        <w:tc>
          <w:tcPr>
            <w:tcW w:w="3117" w:type="dxa"/>
          </w:tcPr>
          <w:p w14:paraId="2291FEBB" w14:textId="77777777" w:rsidR="00AF3E34" w:rsidRPr="001C7743" w:rsidRDefault="00AF3E34" w:rsidP="00AF3E34">
            <w:pPr>
              <w:rPr>
                <w:sz w:val="24"/>
                <w:szCs w:val="24"/>
              </w:rPr>
            </w:pPr>
            <w:r w:rsidRPr="001C7743">
              <w:rPr>
                <w:sz w:val="24"/>
                <w:szCs w:val="24"/>
              </w:rPr>
              <w:t>34.57</w:t>
            </w:r>
          </w:p>
        </w:tc>
        <w:tc>
          <w:tcPr>
            <w:tcW w:w="3117" w:type="dxa"/>
          </w:tcPr>
          <w:p w14:paraId="55E6100B" w14:textId="77777777" w:rsidR="00AF3E34" w:rsidRPr="001C7743" w:rsidRDefault="00AF3E34" w:rsidP="00AF3E34">
            <w:pPr>
              <w:rPr>
                <w:sz w:val="24"/>
                <w:szCs w:val="24"/>
              </w:rPr>
            </w:pPr>
            <w:r w:rsidRPr="001C7743">
              <w:rPr>
                <w:sz w:val="24"/>
                <w:szCs w:val="24"/>
              </w:rPr>
              <w:t>1830.25</w:t>
            </w:r>
          </w:p>
        </w:tc>
      </w:tr>
      <w:tr w:rsidR="00AF3E34" w:rsidRPr="001C7743" w14:paraId="442CF47B" w14:textId="77777777" w:rsidTr="00AF3E34">
        <w:tc>
          <w:tcPr>
            <w:tcW w:w="3116" w:type="dxa"/>
          </w:tcPr>
          <w:p w14:paraId="52616F0B" w14:textId="77777777" w:rsidR="00AF3E34" w:rsidRPr="001C7743" w:rsidRDefault="00AF3E34" w:rsidP="00AF3E34">
            <w:pPr>
              <w:rPr>
                <w:sz w:val="24"/>
                <w:szCs w:val="24"/>
              </w:rPr>
            </w:pPr>
            <w:r w:rsidRPr="001C7743">
              <w:rPr>
                <w:sz w:val="24"/>
                <w:szCs w:val="24"/>
              </w:rPr>
              <w:t>IFN</w:t>
            </w:r>
            <w:r w:rsidRPr="001C7743">
              <w:rPr>
                <w:rFonts w:cstheme="minorHAnsi"/>
                <w:sz w:val="24"/>
                <w:szCs w:val="24"/>
              </w:rPr>
              <w:t>α</w:t>
            </w:r>
          </w:p>
        </w:tc>
        <w:tc>
          <w:tcPr>
            <w:tcW w:w="3117" w:type="dxa"/>
          </w:tcPr>
          <w:p w14:paraId="7EEDCDBD" w14:textId="77777777" w:rsidR="00AF3E34" w:rsidRPr="001C7743" w:rsidRDefault="00AF3E34" w:rsidP="00AF3E34">
            <w:pPr>
              <w:rPr>
                <w:sz w:val="24"/>
                <w:szCs w:val="24"/>
              </w:rPr>
            </w:pPr>
            <w:r w:rsidRPr="001C7743">
              <w:rPr>
                <w:sz w:val="24"/>
                <w:szCs w:val="24"/>
              </w:rPr>
              <w:t>Not Detected</w:t>
            </w:r>
          </w:p>
        </w:tc>
        <w:tc>
          <w:tcPr>
            <w:tcW w:w="3117" w:type="dxa"/>
          </w:tcPr>
          <w:p w14:paraId="03FAB636" w14:textId="77777777" w:rsidR="00AF3E34" w:rsidRPr="001C7743" w:rsidRDefault="00AF3E34" w:rsidP="00AF3E34">
            <w:pPr>
              <w:rPr>
                <w:sz w:val="24"/>
                <w:szCs w:val="24"/>
              </w:rPr>
            </w:pPr>
            <w:r w:rsidRPr="001C7743">
              <w:rPr>
                <w:sz w:val="24"/>
                <w:szCs w:val="24"/>
              </w:rPr>
              <w:t>723.74</w:t>
            </w:r>
          </w:p>
        </w:tc>
      </w:tr>
      <w:tr w:rsidR="00AF3E34" w:rsidRPr="001C7743" w14:paraId="39472361" w14:textId="77777777" w:rsidTr="00AF3E34">
        <w:tc>
          <w:tcPr>
            <w:tcW w:w="3116" w:type="dxa"/>
          </w:tcPr>
          <w:p w14:paraId="0BABFBBD" w14:textId="77777777" w:rsidR="00AF3E34" w:rsidRPr="001C7743" w:rsidRDefault="00AF3E34" w:rsidP="00AF3E34">
            <w:pPr>
              <w:rPr>
                <w:sz w:val="24"/>
                <w:szCs w:val="24"/>
              </w:rPr>
            </w:pPr>
            <w:r w:rsidRPr="001C7743">
              <w:rPr>
                <w:sz w:val="24"/>
                <w:szCs w:val="24"/>
              </w:rPr>
              <w:t>IL-6</w:t>
            </w:r>
          </w:p>
        </w:tc>
        <w:tc>
          <w:tcPr>
            <w:tcW w:w="3117" w:type="dxa"/>
          </w:tcPr>
          <w:p w14:paraId="5FE52819" w14:textId="77777777" w:rsidR="00AF3E34" w:rsidRPr="001C7743" w:rsidRDefault="00AF3E34" w:rsidP="00AF3E34">
            <w:pPr>
              <w:rPr>
                <w:sz w:val="24"/>
                <w:szCs w:val="24"/>
              </w:rPr>
            </w:pPr>
            <w:r w:rsidRPr="001C7743">
              <w:rPr>
                <w:sz w:val="24"/>
                <w:szCs w:val="24"/>
              </w:rPr>
              <w:t>21.7</w:t>
            </w:r>
          </w:p>
        </w:tc>
        <w:tc>
          <w:tcPr>
            <w:tcW w:w="3117" w:type="dxa"/>
          </w:tcPr>
          <w:p w14:paraId="754027E3" w14:textId="77777777" w:rsidR="00AF3E34" w:rsidRPr="001C7743" w:rsidRDefault="00AF3E34" w:rsidP="00AF3E34">
            <w:pPr>
              <w:rPr>
                <w:sz w:val="24"/>
                <w:szCs w:val="24"/>
              </w:rPr>
            </w:pPr>
            <w:r w:rsidRPr="001C7743">
              <w:rPr>
                <w:sz w:val="24"/>
                <w:szCs w:val="24"/>
              </w:rPr>
              <w:t>617.35</w:t>
            </w:r>
          </w:p>
        </w:tc>
      </w:tr>
      <w:tr w:rsidR="00AF3E34" w:rsidRPr="001C7743" w14:paraId="1EC81DBC" w14:textId="77777777" w:rsidTr="00AF3E34">
        <w:tc>
          <w:tcPr>
            <w:tcW w:w="3116" w:type="dxa"/>
          </w:tcPr>
          <w:p w14:paraId="79251A13" w14:textId="77777777" w:rsidR="00AF3E34" w:rsidRPr="001C7743" w:rsidRDefault="00AF3E34" w:rsidP="00AF3E34">
            <w:pPr>
              <w:rPr>
                <w:sz w:val="24"/>
                <w:szCs w:val="24"/>
              </w:rPr>
            </w:pPr>
            <w:r w:rsidRPr="001C7743">
              <w:rPr>
                <w:sz w:val="24"/>
                <w:szCs w:val="24"/>
              </w:rPr>
              <w:t>IL-15</w:t>
            </w:r>
          </w:p>
        </w:tc>
        <w:tc>
          <w:tcPr>
            <w:tcW w:w="3117" w:type="dxa"/>
          </w:tcPr>
          <w:p w14:paraId="1F6642F1" w14:textId="77777777" w:rsidR="00AF3E34" w:rsidRPr="001C7743" w:rsidRDefault="00AF3E34" w:rsidP="00AF3E34">
            <w:pPr>
              <w:rPr>
                <w:sz w:val="24"/>
                <w:szCs w:val="24"/>
              </w:rPr>
            </w:pPr>
            <w:r w:rsidRPr="001C7743">
              <w:rPr>
                <w:sz w:val="24"/>
                <w:szCs w:val="24"/>
              </w:rPr>
              <w:t>Not Detected</w:t>
            </w:r>
          </w:p>
        </w:tc>
        <w:tc>
          <w:tcPr>
            <w:tcW w:w="3117" w:type="dxa"/>
          </w:tcPr>
          <w:p w14:paraId="3122CABA" w14:textId="77777777" w:rsidR="00AF3E34" w:rsidRPr="001C7743" w:rsidRDefault="00AF3E34" w:rsidP="00AF3E34">
            <w:pPr>
              <w:rPr>
                <w:sz w:val="24"/>
                <w:szCs w:val="24"/>
              </w:rPr>
            </w:pPr>
            <w:r w:rsidRPr="001C7743">
              <w:rPr>
                <w:sz w:val="24"/>
                <w:szCs w:val="24"/>
              </w:rPr>
              <w:t>2381.65</w:t>
            </w:r>
          </w:p>
        </w:tc>
      </w:tr>
      <w:tr w:rsidR="00AF3E34" w:rsidRPr="001C7743" w14:paraId="0BD402DD" w14:textId="77777777" w:rsidTr="00AF3E34">
        <w:tc>
          <w:tcPr>
            <w:tcW w:w="3116" w:type="dxa"/>
          </w:tcPr>
          <w:p w14:paraId="7E2978CE" w14:textId="77777777" w:rsidR="00AF3E34" w:rsidRPr="001C7743" w:rsidRDefault="00AF3E34" w:rsidP="00AF3E34">
            <w:pPr>
              <w:rPr>
                <w:sz w:val="24"/>
                <w:szCs w:val="24"/>
              </w:rPr>
            </w:pPr>
            <w:r w:rsidRPr="001C7743">
              <w:rPr>
                <w:sz w:val="24"/>
                <w:szCs w:val="24"/>
              </w:rPr>
              <w:t>IL-23</w:t>
            </w:r>
          </w:p>
        </w:tc>
        <w:tc>
          <w:tcPr>
            <w:tcW w:w="3117" w:type="dxa"/>
          </w:tcPr>
          <w:p w14:paraId="180C69EE" w14:textId="77777777" w:rsidR="00AF3E34" w:rsidRPr="001C7743" w:rsidRDefault="00AF3E34" w:rsidP="00AF3E34">
            <w:pPr>
              <w:rPr>
                <w:sz w:val="24"/>
                <w:szCs w:val="24"/>
              </w:rPr>
            </w:pPr>
            <w:r w:rsidRPr="001C7743">
              <w:rPr>
                <w:sz w:val="24"/>
                <w:szCs w:val="24"/>
              </w:rPr>
              <w:t>20.67</w:t>
            </w:r>
          </w:p>
        </w:tc>
        <w:tc>
          <w:tcPr>
            <w:tcW w:w="3117" w:type="dxa"/>
          </w:tcPr>
          <w:p w14:paraId="2F4882F0" w14:textId="77777777" w:rsidR="00AF3E34" w:rsidRPr="001C7743" w:rsidRDefault="00AF3E34" w:rsidP="00AF3E34">
            <w:pPr>
              <w:rPr>
                <w:sz w:val="24"/>
                <w:szCs w:val="24"/>
              </w:rPr>
            </w:pPr>
            <w:r w:rsidRPr="001C7743">
              <w:rPr>
                <w:sz w:val="24"/>
                <w:szCs w:val="24"/>
              </w:rPr>
              <w:t>420</w:t>
            </w:r>
          </w:p>
        </w:tc>
      </w:tr>
    </w:tbl>
    <w:p w14:paraId="72925F97" w14:textId="77777777" w:rsidR="00426CC7" w:rsidRDefault="00426CC7"/>
    <w:sectPr w:rsidR="00426CC7" w:rsidSect="00D47D2A">
      <w:footerReference w:type="default" r:id="rId13"/>
      <w:headerReference w:type="first" r:id="rId14"/>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0DEB0" w14:textId="77777777" w:rsidR="00284098" w:rsidRDefault="00284098">
      <w:r>
        <w:separator/>
      </w:r>
    </w:p>
  </w:endnote>
  <w:endnote w:type="continuationSeparator" w:id="0">
    <w:p w14:paraId="7669D585" w14:textId="77777777" w:rsidR="00284098" w:rsidRDefault="0028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F5A0B" w14:textId="77777777" w:rsidR="0049669B" w:rsidRDefault="00E25079">
    <w:pPr>
      <w:pStyle w:val="Footer"/>
      <w:jc w:val="right"/>
    </w:pPr>
    <w:r>
      <w:fldChar w:fldCharType="begin"/>
    </w:r>
    <w:r>
      <w:instrText xml:space="preserve"> PAGE   \* MERGEFORMAT </w:instrText>
    </w:r>
    <w:r>
      <w:fldChar w:fldCharType="separate"/>
    </w:r>
    <w:r>
      <w:rPr>
        <w:noProof/>
      </w:rPr>
      <w:t>19</w:t>
    </w:r>
    <w:r>
      <w:rPr>
        <w:noProof/>
      </w:rPr>
      <w:fldChar w:fldCharType="end"/>
    </w:r>
  </w:p>
  <w:p w14:paraId="17EE0CB6" w14:textId="77777777" w:rsidR="0049669B" w:rsidRDefault="00284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4FA2D" w14:textId="77777777" w:rsidR="00284098" w:rsidRDefault="00284098">
      <w:r>
        <w:separator/>
      </w:r>
    </w:p>
  </w:footnote>
  <w:footnote w:type="continuationSeparator" w:id="0">
    <w:p w14:paraId="5AC623A1" w14:textId="77777777" w:rsidR="00284098" w:rsidRDefault="00284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4B712" w14:textId="77777777" w:rsidR="0049669B" w:rsidRDefault="00E25079" w:rsidP="004A10BE">
    <w:pPr>
      <w:pStyle w:val="Header"/>
    </w:pPr>
    <w:r>
      <w:tab/>
    </w:r>
  </w:p>
  <w:p w14:paraId="5DF0284F" w14:textId="77777777" w:rsidR="0049669B" w:rsidRDefault="00284098" w:rsidP="004A10BE">
    <w:pPr>
      <w:pStyle w:val="Header"/>
    </w:pPr>
  </w:p>
  <w:p w14:paraId="61473D1B" w14:textId="77777777" w:rsidR="0049669B" w:rsidRDefault="00284098" w:rsidP="004A10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079"/>
    <w:rsid w:val="0000374F"/>
    <w:rsid w:val="001778F6"/>
    <w:rsid w:val="001A184C"/>
    <w:rsid w:val="001C7743"/>
    <w:rsid w:val="001D1D5B"/>
    <w:rsid w:val="002756C9"/>
    <w:rsid w:val="00284098"/>
    <w:rsid w:val="002A4D15"/>
    <w:rsid w:val="00351AFA"/>
    <w:rsid w:val="00426CC7"/>
    <w:rsid w:val="005214DC"/>
    <w:rsid w:val="005620DC"/>
    <w:rsid w:val="00632166"/>
    <w:rsid w:val="006D5770"/>
    <w:rsid w:val="00723C0A"/>
    <w:rsid w:val="007A1DB0"/>
    <w:rsid w:val="007E7160"/>
    <w:rsid w:val="00887AB3"/>
    <w:rsid w:val="008B3E96"/>
    <w:rsid w:val="008C53A4"/>
    <w:rsid w:val="009D11F8"/>
    <w:rsid w:val="00AF3E34"/>
    <w:rsid w:val="00B47885"/>
    <w:rsid w:val="00B97AA3"/>
    <w:rsid w:val="00BF3381"/>
    <w:rsid w:val="00C14755"/>
    <w:rsid w:val="00C64F5F"/>
    <w:rsid w:val="00CA47CD"/>
    <w:rsid w:val="00CB490B"/>
    <w:rsid w:val="00CC6769"/>
    <w:rsid w:val="00D0179A"/>
    <w:rsid w:val="00D649F8"/>
    <w:rsid w:val="00D7001A"/>
    <w:rsid w:val="00D80966"/>
    <w:rsid w:val="00E14D12"/>
    <w:rsid w:val="00E25079"/>
    <w:rsid w:val="00E47CD6"/>
    <w:rsid w:val="00E8190F"/>
    <w:rsid w:val="00ED4EA7"/>
    <w:rsid w:val="00F22010"/>
    <w:rsid w:val="00F47861"/>
    <w:rsid w:val="00F870EE"/>
    <w:rsid w:val="00FE35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12E61"/>
  <w15:chartTrackingRefBased/>
  <w15:docId w15:val="{67E2CE33-2697-40FA-8A7B-55ACF02C6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5079"/>
    <w:pPr>
      <w:spacing w:after="0" w:line="240"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qFormat/>
    <w:rsid w:val="00E25079"/>
    <w:pPr>
      <w:spacing w:before="120"/>
      <w:ind w:firstLine="720"/>
    </w:pPr>
    <w:rPr>
      <w:rFonts w:eastAsia="Times New Roman"/>
      <w:sz w:val="24"/>
      <w:szCs w:val="24"/>
    </w:rPr>
  </w:style>
  <w:style w:type="paragraph" w:styleId="Footer">
    <w:name w:val="footer"/>
    <w:basedOn w:val="Normal"/>
    <w:link w:val="FooterChar"/>
    <w:uiPriority w:val="99"/>
    <w:rsid w:val="00E2507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E25079"/>
    <w:rPr>
      <w:rFonts w:ascii="Times New Roman" w:eastAsia="Times New Roman" w:hAnsi="Times New Roman" w:cs="Times New Roman"/>
      <w:sz w:val="20"/>
      <w:szCs w:val="20"/>
    </w:rPr>
  </w:style>
  <w:style w:type="paragraph" w:styleId="Header">
    <w:name w:val="header"/>
    <w:basedOn w:val="Normal"/>
    <w:link w:val="HeaderChar"/>
    <w:rsid w:val="00E25079"/>
    <w:pPr>
      <w:tabs>
        <w:tab w:val="center" w:pos="4320"/>
        <w:tab w:val="right" w:pos="8640"/>
      </w:tabs>
    </w:pPr>
    <w:rPr>
      <w:rFonts w:eastAsia="Times New Roman"/>
    </w:rPr>
  </w:style>
  <w:style w:type="character" w:customStyle="1" w:styleId="HeaderChar">
    <w:name w:val="Header Char"/>
    <w:basedOn w:val="DefaultParagraphFont"/>
    <w:link w:val="Header"/>
    <w:rsid w:val="00E25079"/>
    <w:rPr>
      <w:rFonts w:ascii="Times New Roman" w:eastAsia="Times New Roman" w:hAnsi="Times New Roman" w:cs="Times New Roman"/>
      <w:sz w:val="20"/>
      <w:szCs w:val="20"/>
    </w:rPr>
  </w:style>
  <w:style w:type="paragraph" w:customStyle="1" w:styleId="SOMHead">
    <w:name w:val="SOMHead"/>
    <w:basedOn w:val="Normal"/>
    <w:rsid w:val="00E25079"/>
    <w:pPr>
      <w:keepNext/>
      <w:spacing w:before="240"/>
      <w:outlineLvl w:val="0"/>
    </w:pPr>
    <w:rPr>
      <w:rFonts w:eastAsia="Times New Roman"/>
      <w:b/>
      <w:kern w:val="28"/>
      <w:sz w:val="24"/>
      <w:szCs w:val="24"/>
    </w:rPr>
  </w:style>
  <w:style w:type="character" w:customStyle="1" w:styleId="ParagraphChar">
    <w:name w:val="Paragraph Char"/>
    <w:link w:val="Paragraph"/>
    <w:rsid w:val="00E250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51AFA"/>
    <w:rPr>
      <w:sz w:val="18"/>
      <w:szCs w:val="18"/>
    </w:rPr>
  </w:style>
  <w:style w:type="character" w:customStyle="1" w:styleId="BalloonTextChar">
    <w:name w:val="Balloon Text Char"/>
    <w:basedOn w:val="DefaultParagraphFont"/>
    <w:link w:val="BalloonText"/>
    <w:uiPriority w:val="99"/>
    <w:semiHidden/>
    <w:rsid w:val="00351AFA"/>
    <w:rPr>
      <w:rFonts w:ascii="Times New Roman" w:eastAsia="Calibri" w:hAnsi="Times New Roman" w:cs="Times New Roman"/>
      <w:sz w:val="18"/>
      <w:szCs w:val="18"/>
    </w:rPr>
  </w:style>
  <w:style w:type="character" w:styleId="CommentReference">
    <w:name w:val="annotation reference"/>
    <w:basedOn w:val="DefaultParagraphFont"/>
    <w:uiPriority w:val="99"/>
    <w:semiHidden/>
    <w:unhideWhenUsed/>
    <w:rsid w:val="0000374F"/>
    <w:rPr>
      <w:sz w:val="16"/>
      <w:szCs w:val="16"/>
    </w:rPr>
  </w:style>
  <w:style w:type="paragraph" w:styleId="CommentText">
    <w:name w:val="annotation text"/>
    <w:basedOn w:val="Normal"/>
    <w:link w:val="CommentTextChar"/>
    <w:uiPriority w:val="99"/>
    <w:semiHidden/>
    <w:unhideWhenUsed/>
    <w:rsid w:val="0000374F"/>
  </w:style>
  <w:style w:type="character" w:customStyle="1" w:styleId="CommentTextChar">
    <w:name w:val="Comment Text Char"/>
    <w:basedOn w:val="DefaultParagraphFont"/>
    <w:link w:val="CommentText"/>
    <w:uiPriority w:val="99"/>
    <w:semiHidden/>
    <w:rsid w:val="0000374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374F"/>
    <w:rPr>
      <w:b/>
      <w:bCs/>
    </w:rPr>
  </w:style>
  <w:style w:type="character" w:customStyle="1" w:styleId="CommentSubjectChar">
    <w:name w:val="Comment Subject Char"/>
    <w:basedOn w:val="CommentTextChar"/>
    <w:link w:val="CommentSubject"/>
    <w:uiPriority w:val="99"/>
    <w:semiHidden/>
    <w:rsid w:val="0000374F"/>
    <w:rPr>
      <w:rFonts w:ascii="Times New Roman" w:eastAsia="Calibri" w:hAnsi="Times New Roman" w:cs="Times New Roman"/>
      <w:b/>
      <w:bCs/>
      <w:sz w:val="20"/>
      <w:szCs w:val="20"/>
    </w:rPr>
  </w:style>
  <w:style w:type="table" w:styleId="TableGrid">
    <w:name w:val="Table Grid"/>
    <w:basedOn w:val="TableNormal"/>
    <w:uiPriority w:val="39"/>
    <w:rsid w:val="001C7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7861"/>
    <w:pPr>
      <w:ind w:left="720"/>
      <w:contextualSpacing/>
    </w:pPr>
  </w:style>
  <w:style w:type="character" w:styleId="PlaceholderText">
    <w:name w:val="Placeholder Text"/>
    <w:basedOn w:val="DefaultParagraphFont"/>
    <w:uiPriority w:val="99"/>
    <w:semiHidden/>
    <w:rsid w:val="005620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67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Schreiber</dc:creator>
  <cp:keywords/>
  <dc:description/>
  <cp:lastModifiedBy>Taylor Schreiber</cp:lastModifiedBy>
  <cp:revision>2</cp:revision>
  <dcterms:created xsi:type="dcterms:W3CDTF">2019-12-09T14:25:00Z</dcterms:created>
  <dcterms:modified xsi:type="dcterms:W3CDTF">2019-12-09T14:25:00Z</dcterms:modified>
</cp:coreProperties>
</file>