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9BFBA" w14:textId="77777777" w:rsidR="003A47DA" w:rsidRPr="00AA2DEB" w:rsidRDefault="00FA73C7" w:rsidP="003A47D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Materials and M</w:t>
      </w:r>
      <w:r w:rsidR="003A47DA" w:rsidRPr="00AA2DEB">
        <w:rPr>
          <w:rFonts w:ascii="Times New Roman" w:hAnsi="Times New Roman" w:cs="Times New Roman"/>
          <w:b/>
          <w:lang w:val="en-US"/>
        </w:rPr>
        <w:t>ethods</w:t>
      </w:r>
    </w:p>
    <w:p w14:paraId="7956A0BB" w14:textId="7FEC6D64" w:rsidR="005E7568" w:rsidRDefault="00DC2BA3" w:rsidP="00FA73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DC2BA3">
        <w:rPr>
          <w:rFonts w:ascii="Times New Roman" w:hAnsi="Times New Roman" w:cs="Times New Roman"/>
          <w:i/>
          <w:u w:val="single"/>
          <w:lang w:val="en-US"/>
        </w:rPr>
        <w:t>List of monoclonal antibodies used for flow cytometry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1"/>
        <w:gridCol w:w="1769"/>
        <w:gridCol w:w="1643"/>
        <w:gridCol w:w="1969"/>
      </w:tblGrid>
      <w:tr w:rsidR="00DC2BA3" w14:paraId="25B91FB0" w14:textId="77777777" w:rsidTr="005E7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2F2F2" w:themeFill="background1" w:themeFillShade="F2"/>
          </w:tcPr>
          <w:p w14:paraId="23E49267" w14:textId="5AA977AC" w:rsidR="00DC2BA3" w:rsidRDefault="00DC2BA3" w:rsidP="005E75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ANTIBODIES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12D142ED" w14:textId="05F400B5" w:rsidR="00DC2BA3" w:rsidRDefault="00DC2BA3" w:rsidP="005E7568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SOURCE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010138D8" w14:textId="31FB5C1E" w:rsidR="00DC2BA3" w:rsidRDefault="00DC2BA3" w:rsidP="005E7568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IDENTIFIER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26EE7988" w14:textId="065905EA" w:rsidR="00DC2BA3" w:rsidRDefault="00DC2BA3" w:rsidP="005E7568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RRID</w:t>
            </w:r>
          </w:p>
        </w:tc>
      </w:tr>
      <w:tr w:rsidR="00DC2BA3" w14:paraId="55140F33" w14:textId="77777777" w:rsidTr="00DC2BA3">
        <w:tc>
          <w:tcPr>
            <w:tcW w:w="3681" w:type="dxa"/>
          </w:tcPr>
          <w:p w14:paraId="3DCEB271" w14:textId="77777777" w:rsidR="00DC2BA3" w:rsidRDefault="00DC2BA3" w:rsidP="00DC2BA3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alexa750 anti human CD19 </w:t>
            </w:r>
          </w:p>
          <w:p w14:paraId="4A017AA4" w14:textId="2C1BB3D5" w:rsidR="00DC2BA3" w:rsidRPr="00DC2BA3" w:rsidRDefault="00DC2BA3" w:rsidP="00DC2BA3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J3-119)</w:t>
            </w:r>
          </w:p>
        </w:tc>
        <w:tc>
          <w:tcPr>
            <w:tcW w:w="1769" w:type="dxa"/>
            <w:vAlign w:val="bottom"/>
          </w:tcPr>
          <w:p w14:paraId="35CAC3A7" w14:textId="41F9331E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Beckman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Coulter</w:t>
            </w:r>
          </w:p>
        </w:tc>
        <w:tc>
          <w:tcPr>
            <w:tcW w:w="1643" w:type="dxa"/>
          </w:tcPr>
          <w:p w14:paraId="3EC0A633" w14:textId="102ADE78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A94681</w:t>
            </w:r>
          </w:p>
        </w:tc>
        <w:tc>
          <w:tcPr>
            <w:tcW w:w="1969" w:type="dxa"/>
          </w:tcPr>
          <w:p w14:paraId="7FB4C5C5" w14:textId="4E592FA9" w:rsidR="00DC2BA3" w:rsidRDefault="00AB74C7" w:rsidP="007719C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202C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="00BD202C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C2BA3" w14:paraId="3A09D25A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121F274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alexa750 anti human CD56</w:t>
            </w:r>
          </w:p>
          <w:p w14:paraId="7D980272" w14:textId="3DA07E81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(clone N901)</w:t>
            </w:r>
          </w:p>
        </w:tc>
        <w:tc>
          <w:tcPr>
            <w:tcW w:w="1769" w:type="dxa"/>
            <w:vAlign w:val="bottom"/>
          </w:tcPr>
          <w:p w14:paraId="4BA2D755" w14:textId="7B02B920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Beckman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Coulter</w:t>
            </w:r>
          </w:p>
        </w:tc>
        <w:tc>
          <w:tcPr>
            <w:tcW w:w="1643" w:type="dxa"/>
          </w:tcPr>
          <w:p w14:paraId="412BC4E6" w14:textId="3284EED8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AB46024</w:t>
            </w:r>
          </w:p>
        </w:tc>
        <w:tc>
          <w:tcPr>
            <w:tcW w:w="1969" w:type="dxa"/>
          </w:tcPr>
          <w:p w14:paraId="472D9068" w14:textId="0C0BF294" w:rsidR="00DC2BA3" w:rsidRDefault="00BD202C" w:rsidP="007719C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</w:p>
        </w:tc>
      </w:tr>
      <w:tr w:rsidR="00DC2BA3" w14:paraId="120A75D1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32297B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alexa750 anti human CD3 </w:t>
            </w:r>
          </w:p>
          <w:p w14:paraId="25D7A81B" w14:textId="1E5F32F2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A94680)</w:t>
            </w:r>
          </w:p>
        </w:tc>
        <w:tc>
          <w:tcPr>
            <w:tcW w:w="1769" w:type="dxa"/>
            <w:vAlign w:val="bottom"/>
          </w:tcPr>
          <w:p w14:paraId="5D58CC61" w14:textId="120A5171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Beckman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Coulter</w:t>
            </w:r>
          </w:p>
        </w:tc>
        <w:tc>
          <w:tcPr>
            <w:tcW w:w="1643" w:type="dxa"/>
          </w:tcPr>
          <w:p w14:paraId="32A58466" w14:textId="30E318F8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A94680</w:t>
            </w:r>
          </w:p>
        </w:tc>
        <w:tc>
          <w:tcPr>
            <w:tcW w:w="1969" w:type="dxa"/>
          </w:tcPr>
          <w:p w14:paraId="12D50AC2" w14:textId="41F37180" w:rsidR="00DC2BA3" w:rsidRDefault="00BD202C" w:rsidP="007719C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</w:p>
        </w:tc>
      </w:tr>
      <w:tr w:rsidR="00DC2BA3" w14:paraId="2313BB97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284496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PE cy7 anti human CD11b </w:t>
            </w:r>
          </w:p>
          <w:p w14:paraId="36569563" w14:textId="306E3D09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ICRF44)</w:t>
            </w:r>
          </w:p>
        </w:tc>
        <w:tc>
          <w:tcPr>
            <w:tcW w:w="1769" w:type="dxa"/>
            <w:vAlign w:val="bottom"/>
          </w:tcPr>
          <w:p w14:paraId="32ADD53A" w14:textId="59F38718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51D9D8E0" w14:textId="6E927AC8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557743</w:t>
            </w:r>
          </w:p>
        </w:tc>
        <w:tc>
          <w:tcPr>
            <w:tcW w:w="1969" w:type="dxa"/>
          </w:tcPr>
          <w:p w14:paraId="2D61FC2B" w14:textId="40DA4829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RRID:AB_396849</w:t>
            </w:r>
          </w:p>
        </w:tc>
      </w:tr>
      <w:tr w:rsidR="00DC2BA3" w14:paraId="1C8FDC0E" w14:textId="77777777" w:rsidTr="00DC2BA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0BA930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APC anti human CD33 </w:t>
            </w:r>
          </w:p>
          <w:p w14:paraId="47104BA6" w14:textId="73DBD873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WM53)</w:t>
            </w:r>
          </w:p>
        </w:tc>
        <w:tc>
          <w:tcPr>
            <w:tcW w:w="1769" w:type="dxa"/>
            <w:vAlign w:val="bottom"/>
          </w:tcPr>
          <w:p w14:paraId="5732F732" w14:textId="560F6745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59421579" w14:textId="27F9AFC3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551378</w:t>
            </w:r>
          </w:p>
        </w:tc>
        <w:tc>
          <w:tcPr>
            <w:tcW w:w="1969" w:type="dxa"/>
          </w:tcPr>
          <w:p w14:paraId="573EBAC4" w14:textId="12CB7025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RRID:AB_398502</w:t>
            </w:r>
          </w:p>
        </w:tc>
      </w:tr>
      <w:tr w:rsidR="00DC2BA3" w14:paraId="66BE55F3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917B91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PE Mouse IgG1 isotype control </w:t>
            </w:r>
          </w:p>
          <w:p w14:paraId="55F9B94F" w14:textId="5E66888D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MOPC-21)</w:t>
            </w:r>
          </w:p>
        </w:tc>
        <w:tc>
          <w:tcPr>
            <w:tcW w:w="1769" w:type="dxa"/>
            <w:vAlign w:val="bottom"/>
          </w:tcPr>
          <w:p w14:paraId="6846FCB0" w14:textId="01E5DB0F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0658E8D9" w14:textId="6A118CDD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559320</w:t>
            </w:r>
          </w:p>
        </w:tc>
        <w:tc>
          <w:tcPr>
            <w:tcW w:w="1969" w:type="dxa"/>
          </w:tcPr>
          <w:p w14:paraId="1BE97871" w14:textId="07EF8AC3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RRID:AB_397218</w:t>
            </w:r>
          </w:p>
        </w:tc>
      </w:tr>
      <w:tr w:rsidR="00DC2BA3" w14:paraId="3F68EFBE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F42F62" w14:textId="3E55DFE4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PE cy7 Mouse IgG1 isotype control (clone MOPC-21)</w:t>
            </w:r>
          </w:p>
        </w:tc>
        <w:tc>
          <w:tcPr>
            <w:tcW w:w="1769" w:type="dxa"/>
            <w:vAlign w:val="bottom"/>
          </w:tcPr>
          <w:p w14:paraId="68CA8FDA" w14:textId="7F7B03FE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3DFD8273" w14:textId="2D552322" w:rsidR="00DC2BA3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557646</w:t>
            </w:r>
          </w:p>
        </w:tc>
        <w:tc>
          <w:tcPr>
            <w:tcW w:w="1969" w:type="dxa"/>
          </w:tcPr>
          <w:p w14:paraId="418250F7" w14:textId="785343EF" w:rsidR="00DC2BA3" w:rsidRPr="007719C7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RRID:AB_396763</w:t>
            </w:r>
          </w:p>
        </w:tc>
      </w:tr>
      <w:tr w:rsidR="00DC2BA3" w14:paraId="50719D78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FF66AF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Mouse IgG1 isotype control </w:t>
            </w:r>
          </w:p>
          <w:p w14:paraId="4C90C7BF" w14:textId="4E3E2432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MOPC-21)</w:t>
            </w:r>
          </w:p>
        </w:tc>
        <w:tc>
          <w:tcPr>
            <w:tcW w:w="1769" w:type="dxa"/>
            <w:vAlign w:val="bottom"/>
          </w:tcPr>
          <w:p w14:paraId="694BBD1B" w14:textId="38146297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19A2A308" w14:textId="0117033E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555751</w:t>
            </w:r>
          </w:p>
        </w:tc>
        <w:tc>
          <w:tcPr>
            <w:tcW w:w="1969" w:type="dxa"/>
          </w:tcPr>
          <w:p w14:paraId="0F5524CE" w14:textId="22C563EB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RRID:AB_398613</w:t>
            </w:r>
          </w:p>
        </w:tc>
      </w:tr>
      <w:tr w:rsidR="00DC2BA3" w14:paraId="5D419C9B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54B86B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anti human IFN-ɣ </w:t>
            </w:r>
          </w:p>
          <w:p w14:paraId="0731A3C2" w14:textId="21131D38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B27)</w:t>
            </w:r>
          </w:p>
        </w:tc>
        <w:tc>
          <w:tcPr>
            <w:tcW w:w="1769" w:type="dxa"/>
            <w:vAlign w:val="bottom"/>
          </w:tcPr>
          <w:p w14:paraId="166408DE" w14:textId="5F0BE105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16B4F9C1" w14:textId="65C454A1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554702</w:t>
            </w:r>
          </w:p>
        </w:tc>
        <w:tc>
          <w:tcPr>
            <w:tcW w:w="1969" w:type="dxa"/>
          </w:tcPr>
          <w:p w14:paraId="37DE1111" w14:textId="3AD896B8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RRID:AB_398580</w:t>
            </w:r>
          </w:p>
        </w:tc>
      </w:tr>
      <w:tr w:rsidR="00DC2BA3" w14:paraId="11E5D686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542764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BV421 anti human CD4</w:t>
            </w:r>
          </w:p>
          <w:p w14:paraId="2F2D5FEF" w14:textId="4E33E139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(clone RPA-T4)</w:t>
            </w:r>
          </w:p>
        </w:tc>
        <w:tc>
          <w:tcPr>
            <w:tcW w:w="1769" w:type="dxa"/>
            <w:vAlign w:val="bottom"/>
          </w:tcPr>
          <w:p w14:paraId="7AC6245E" w14:textId="38F94B65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Becton</w:t>
            </w:r>
            <w:proofErr w:type="spellEnd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Dickinson</w:t>
            </w:r>
          </w:p>
        </w:tc>
        <w:tc>
          <w:tcPr>
            <w:tcW w:w="1643" w:type="dxa"/>
          </w:tcPr>
          <w:p w14:paraId="1E6E3478" w14:textId="4ECE396F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562424</w:t>
            </w:r>
          </w:p>
        </w:tc>
        <w:tc>
          <w:tcPr>
            <w:tcW w:w="1969" w:type="dxa"/>
          </w:tcPr>
          <w:p w14:paraId="04DF9F10" w14:textId="538A695A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RRID:AB_11154417</w:t>
            </w:r>
          </w:p>
        </w:tc>
      </w:tr>
      <w:tr w:rsidR="00DC2BA3" w14:paraId="2CF7C8C6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8F8345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PE anti human TIE2 </w:t>
            </w:r>
          </w:p>
          <w:p w14:paraId="5941A088" w14:textId="3277FF72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 clone 33.1 Ab33)</w:t>
            </w:r>
          </w:p>
        </w:tc>
        <w:tc>
          <w:tcPr>
            <w:tcW w:w="1769" w:type="dxa"/>
            <w:vAlign w:val="bottom"/>
          </w:tcPr>
          <w:p w14:paraId="45B85434" w14:textId="3A502EC3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Biolegend</w:t>
            </w:r>
            <w:proofErr w:type="spellEnd"/>
          </w:p>
        </w:tc>
        <w:tc>
          <w:tcPr>
            <w:tcW w:w="1643" w:type="dxa"/>
            <w:vAlign w:val="bottom"/>
          </w:tcPr>
          <w:p w14:paraId="4B831DB7" w14:textId="57A9C4CF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Cat# 334206</w:t>
            </w:r>
          </w:p>
        </w:tc>
        <w:tc>
          <w:tcPr>
            <w:tcW w:w="1969" w:type="dxa"/>
          </w:tcPr>
          <w:p w14:paraId="0017D29F" w14:textId="3C198A93" w:rsidR="00DC2BA3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RRID:AB_2203207</w:t>
            </w:r>
          </w:p>
        </w:tc>
      </w:tr>
      <w:tr w:rsidR="00DC2BA3" w14:paraId="1C3F5088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04A4C7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PercP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cy5.5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anti human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HLA DR </w:t>
            </w:r>
          </w:p>
          <w:p w14:paraId="0F4B622E" w14:textId="5CABB326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L243)</w:t>
            </w:r>
          </w:p>
        </w:tc>
        <w:tc>
          <w:tcPr>
            <w:tcW w:w="1769" w:type="dxa"/>
            <w:vAlign w:val="bottom"/>
          </w:tcPr>
          <w:p w14:paraId="5A02479D" w14:textId="7D1E6AAE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Biolegend</w:t>
            </w:r>
            <w:proofErr w:type="spellEnd"/>
          </w:p>
        </w:tc>
        <w:tc>
          <w:tcPr>
            <w:tcW w:w="1643" w:type="dxa"/>
            <w:vAlign w:val="bottom"/>
          </w:tcPr>
          <w:p w14:paraId="24824820" w14:textId="019BA924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</w:t>
            </w:r>
            <w:r w:rsid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Cat# </w:t>
            </w:r>
            <w:r w:rsidR="007719C7"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307630</w:t>
            </w:r>
          </w:p>
        </w:tc>
        <w:tc>
          <w:tcPr>
            <w:tcW w:w="1969" w:type="dxa"/>
          </w:tcPr>
          <w:p w14:paraId="3515B14B" w14:textId="69D5DCE9" w:rsidR="00DC2BA3" w:rsidRPr="00EF0DFF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RRID:AB_893567</w:t>
            </w:r>
          </w:p>
        </w:tc>
      </w:tr>
      <w:tr w:rsidR="00DC2BA3" w14:paraId="4FC56A41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C5A9AF6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BV421 anti human CD14 </w:t>
            </w:r>
          </w:p>
          <w:p w14:paraId="19400E3F" w14:textId="47323651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HCD14)</w:t>
            </w:r>
          </w:p>
        </w:tc>
        <w:tc>
          <w:tcPr>
            <w:tcW w:w="1769" w:type="dxa"/>
            <w:vAlign w:val="bottom"/>
          </w:tcPr>
          <w:p w14:paraId="496F3B69" w14:textId="45FEFD42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Biolegend</w:t>
            </w:r>
            <w:proofErr w:type="spellEnd"/>
          </w:p>
        </w:tc>
        <w:tc>
          <w:tcPr>
            <w:tcW w:w="1643" w:type="dxa"/>
            <w:vAlign w:val="bottom"/>
          </w:tcPr>
          <w:p w14:paraId="4B4711A5" w14:textId="142E8D14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Cat# 325627</w:t>
            </w:r>
          </w:p>
        </w:tc>
        <w:tc>
          <w:tcPr>
            <w:tcW w:w="1969" w:type="dxa"/>
          </w:tcPr>
          <w:p w14:paraId="007CD35E" w14:textId="658E2349" w:rsidR="00DC2BA3" w:rsidRPr="00EF0DFF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RRID:AB_2561342</w:t>
            </w:r>
          </w:p>
        </w:tc>
      </w:tr>
      <w:tr w:rsidR="00DC2BA3" w14:paraId="62F4418F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3C01DA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PE anti human TNF-</w:t>
            </w: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</w:rPr>
              <w:t>α</w:t>
            </w: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</w:t>
            </w:r>
          </w:p>
          <w:p w14:paraId="3FA8C7A0" w14:textId="6AF7D1E4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MAb11)</w:t>
            </w:r>
          </w:p>
        </w:tc>
        <w:tc>
          <w:tcPr>
            <w:tcW w:w="1769" w:type="dxa"/>
            <w:vAlign w:val="bottom"/>
          </w:tcPr>
          <w:p w14:paraId="48FF2602" w14:textId="1300DEA4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Biolegend</w:t>
            </w:r>
            <w:proofErr w:type="spellEnd"/>
          </w:p>
        </w:tc>
        <w:tc>
          <w:tcPr>
            <w:tcW w:w="1643" w:type="dxa"/>
            <w:vAlign w:val="bottom"/>
          </w:tcPr>
          <w:p w14:paraId="7F61EF3E" w14:textId="7A1A61EC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Cat#  502909</w:t>
            </w:r>
          </w:p>
        </w:tc>
        <w:tc>
          <w:tcPr>
            <w:tcW w:w="1969" w:type="dxa"/>
          </w:tcPr>
          <w:p w14:paraId="6B241987" w14:textId="5EE85D25" w:rsidR="00DC2BA3" w:rsidRPr="00EF0DFF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RRID:AB_315261</w:t>
            </w:r>
          </w:p>
        </w:tc>
      </w:tr>
      <w:tr w:rsidR="00DC2BA3" w14:paraId="301C6BE8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751C364" w14:textId="77777777" w:rsid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 xml:space="preserve"> APC Fire 750 anti human CD3 </w:t>
            </w:r>
          </w:p>
          <w:p w14:paraId="5C18440E" w14:textId="591FE2EF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  <w:t>(clone UCHT1)</w:t>
            </w:r>
          </w:p>
        </w:tc>
        <w:tc>
          <w:tcPr>
            <w:tcW w:w="1769" w:type="dxa"/>
            <w:vAlign w:val="bottom"/>
          </w:tcPr>
          <w:p w14:paraId="29F7A906" w14:textId="237CDBCC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Biolegend</w:t>
            </w:r>
            <w:proofErr w:type="spellEnd"/>
          </w:p>
        </w:tc>
        <w:tc>
          <w:tcPr>
            <w:tcW w:w="1643" w:type="dxa"/>
            <w:vAlign w:val="bottom"/>
          </w:tcPr>
          <w:p w14:paraId="1D1C2027" w14:textId="56E82746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 Cat# 300470</w:t>
            </w:r>
          </w:p>
        </w:tc>
        <w:tc>
          <w:tcPr>
            <w:tcW w:w="1969" w:type="dxa"/>
          </w:tcPr>
          <w:p w14:paraId="5B0A2AE5" w14:textId="0FABCA69" w:rsidR="00DC2BA3" w:rsidRPr="00EF0DFF" w:rsidRDefault="007719C7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7719C7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RRID:AB_2629689</w:t>
            </w:r>
          </w:p>
        </w:tc>
      </w:tr>
      <w:tr w:rsidR="00DC2BA3" w14:paraId="2BACEA18" w14:textId="77777777" w:rsidTr="00DC2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0335674" w14:textId="239D6281" w:rsidR="00DC2BA3" w:rsidRPr="00DC2BA3" w:rsidRDefault="00DC2BA3" w:rsidP="00DC2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  <w:lang w:val="en-US"/>
              </w:rPr>
            </w:pPr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</w:rPr>
              <w:t xml:space="preserve"> eFluor506 Fixable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</w:rPr>
              <w:t>Viability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2"/>
              </w:rPr>
              <w:t>Dye</w:t>
            </w:r>
            <w:proofErr w:type="spellEnd"/>
          </w:p>
        </w:tc>
        <w:tc>
          <w:tcPr>
            <w:tcW w:w="1769" w:type="dxa"/>
            <w:vAlign w:val="bottom"/>
          </w:tcPr>
          <w:p w14:paraId="3C886407" w14:textId="67D8A2C9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eBiosciences</w:t>
            </w:r>
            <w:proofErr w:type="spellEnd"/>
          </w:p>
        </w:tc>
        <w:tc>
          <w:tcPr>
            <w:tcW w:w="1643" w:type="dxa"/>
          </w:tcPr>
          <w:p w14:paraId="577229BF" w14:textId="7CE9F47F" w:rsidR="00DC2BA3" w:rsidRPr="00EF0DFF" w:rsidRDefault="00DC2BA3" w:rsidP="00DC2BA3">
            <w:pPr>
              <w:autoSpaceDE w:val="0"/>
              <w:autoSpaceDN w:val="0"/>
              <w:adjustRightInd w:val="0"/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EF0DFF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Cat# 65-0866-14</w:t>
            </w:r>
          </w:p>
        </w:tc>
        <w:tc>
          <w:tcPr>
            <w:tcW w:w="1969" w:type="dxa"/>
          </w:tcPr>
          <w:p w14:paraId="51B86FFC" w14:textId="099CEF59" w:rsidR="00DC2BA3" w:rsidRPr="00EF0DFF" w:rsidRDefault="00BD202C" w:rsidP="007719C7">
            <w:pPr>
              <w:autoSpaceDE w:val="0"/>
              <w:autoSpaceDN w:val="0"/>
              <w:adjustRightIn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na</w:t>
            </w:r>
          </w:p>
        </w:tc>
      </w:tr>
    </w:tbl>
    <w:p w14:paraId="323F7931" w14:textId="7FEF7065" w:rsidR="00DC2BA3" w:rsidRPr="00BD202C" w:rsidRDefault="00BD202C" w:rsidP="00FA73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>=</w:t>
      </w:r>
      <w:proofErr w:type="gramEnd"/>
      <w:r>
        <w:rPr>
          <w:rFonts w:ascii="Times New Roman" w:hAnsi="Times New Roman" w:cs="Times New Roman"/>
          <w:lang w:val="en-US"/>
        </w:rPr>
        <w:t xml:space="preserve">not available </w:t>
      </w:r>
    </w:p>
    <w:p w14:paraId="1FB7D7B1" w14:textId="77777777" w:rsidR="00BD202C" w:rsidRDefault="00BD202C" w:rsidP="00FA73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6ADA64A9" w14:textId="77777777" w:rsidR="00BD202C" w:rsidRDefault="00BD202C" w:rsidP="00FA73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7788FF30" w14:textId="0C506DDA" w:rsidR="00FA73C7" w:rsidRPr="005E7581" w:rsidRDefault="00FA73C7" w:rsidP="00FA73C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lang w:val="en-US"/>
        </w:rPr>
      </w:pPr>
      <w:r w:rsidRPr="005E7581">
        <w:rPr>
          <w:rFonts w:ascii="Times New Roman" w:hAnsi="Times New Roman" w:cs="Times New Roman"/>
          <w:i/>
          <w:lang w:val="en-US"/>
        </w:rPr>
        <w:t>TIE2 receptor quantification</w:t>
      </w:r>
    </w:p>
    <w:p w14:paraId="30C82700" w14:textId="4E4C8940" w:rsidR="00FA73C7" w:rsidRPr="00AF4EBD" w:rsidRDefault="00236B7D" w:rsidP="005E756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36B7D">
        <w:rPr>
          <w:rFonts w:ascii="Times New Roman" w:hAnsi="Times New Roman" w:cs="Times New Roman"/>
          <w:lang w:val="en-US"/>
        </w:rPr>
        <w:t xml:space="preserve">To estimate the absolute number of TIE2 receptors expressed by each M-MDSC phenotype, PE-conjugated </w:t>
      </w:r>
      <w:proofErr w:type="spellStart"/>
      <w:r w:rsidRPr="00236B7D">
        <w:rPr>
          <w:rFonts w:ascii="Times New Roman" w:hAnsi="Times New Roman" w:cs="Times New Roman"/>
          <w:lang w:val="en-US"/>
        </w:rPr>
        <w:t>Quantibrite</w:t>
      </w:r>
      <w:r w:rsidRPr="00236B7D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beads were used (BD Biosciences, France). </w:t>
      </w:r>
      <w:proofErr w:type="spellStart"/>
      <w:r w:rsidRPr="00236B7D">
        <w:rPr>
          <w:rFonts w:ascii="Times New Roman" w:hAnsi="Times New Roman" w:cs="Times New Roman"/>
          <w:lang w:val="en-US"/>
        </w:rPr>
        <w:t>Quantibrite</w:t>
      </w:r>
      <w:r w:rsidRPr="00236B7D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tubes contain lyophilized beads conjugated with four determined concentrations of PE </w:t>
      </w:r>
      <w:proofErr w:type="spellStart"/>
      <w:r w:rsidRPr="00236B7D">
        <w:rPr>
          <w:rFonts w:ascii="Times New Roman" w:hAnsi="Times New Roman" w:cs="Times New Roman"/>
          <w:lang w:val="en-US"/>
        </w:rPr>
        <w:lastRenderedPageBreak/>
        <w:t>fluorochrome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(low: 474 PE, medium-low: 5359, medium-high: 23843 and high: 62 336 PE molecules/beads). After reconstitution, </w:t>
      </w:r>
      <w:proofErr w:type="spellStart"/>
      <w:r w:rsidRPr="00236B7D">
        <w:rPr>
          <w:rFonts w:ascii="Times New Roman" w:hAnsi="Times New Roman" w:cs="Times New Roman"/>
          <w:lang w:val="en-US"/>
        </w:rPr>
        <w:t>Quantibrite</w:t>
      </w:r>
      <w:r w:rsidRPr="00236B7D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tubes were loaded on the FACS BD Canto II</w:t>
      </w:r>
      <w:r w:rsidRPr="00236B7D">
        <w:rPr>
          <w:rFonts w:ascii="Times New Roman" w:hAnsi="Times New Roman" w:cs="Times New Roman"/>
          <w:vertAlign w:val="superscript"/>
          <w:lang w:val="en-US"/>
        </w:rPr>
        <w:t>TM</w:t>
      </w:r>
      <w:r w:rsidRPr="00236B7D">
        <w:rPr>
          <w:rFonts w:ascii="Times New Roman" w:hAnsi="Times New Roman" w:cs="Times New Roman"/>
          <w:lang w:val="en-US"/>
        </w:rPr>
        <w:t xml:space="preserve"> cytometer, FSC/SSC were adjusted and a calibration curve was plotted and fitted by a linear regression according to the manufacturer’s instructions. Then, circulating M-MDSCs from 5 healthy volunteers and 8 NSCLC patients were stained as previously described and acquired. Mean fluorescence intensity values of TIE2 staining were converted in the number of TIE2 receptors per MDSC phenotype.</w:t>
      </w:r>
      <w:r w:rsidR="00FA73C7" w:rsidRPr="00AF4EBD">
        <w:rPr>
          <w:rFonts w:ascii="Times New Roman" w:hAnsi="Times New Roman" w:cs="Times New Roman"/>
          <w:lang w:val="en-US"/>
        </w:rPr>
        <w:t xml:space="preserve"> Samples were acquired on a FACS BD Canto II</w:t>
      </w:r>
      <w:r w:rsidR="00FA73C7" w:rsidRPr="00AF4EBD">
        <w:rPr>
          <w:rFonts w:ascii="Times New Roman" w:hAnsi="Times New Roman" w:cs="Times New Roman"/>
          <w:vertAlign w:val="superscript"/>
          <w:lang w:val="en-US"/>
        </w:rPr>
        <w:t>TM</w:t>
      </w:r>
      <w:r w:rsidR="00FA73C7" w:rsidRPr="00AF4EBD">
        <w:rPr>
          <w:rFonts w:ascii="Times New Roman" w:hAnsi="Times New Roman" w:cs="Times New Roman"/>
          <w:lang w:val="en-US"/>
        </w:rPr>
        <w:t xml:space="preserve"> (BD Biosciences) and analyzed with </w:t>
      </w:r>
      <w:proofErr w:type="spellStart"/>
      <w:r w:rsidR="00FA73C7" w:rsidRPr="00AF4EBD">
        <w:rPr>
          <w:rFonts w:ascii="Times New Roman" w:hAnsi="Times New Roman" w:cs="Times New Roman"/>
          <w:lang w:val="en-US"/>
        </w:rPr>
        <w:t>FACSDiva</w:t>
      </w:r>
      <w:proofErr w:type="spellEnd"/>
      <w:r w:rsidR="00FA73C7" w:rsidRPr="00AF4EBD">
        <w:rPr>
          <w:rFonts w:ascii="Times New Roman" w:hAnsi="Times New Roman" w:cs="Times New Roman"/>
          <w:lang w:val="en-US"/>
        </w:rPr>
        <w:t>™ software (BD Biosciences).</w:t>
      </w:r>
    </w:p>
    <w:p w14:paraId="098CE78C" w14:textId="77777777" w:rsidR="00F84A23" w:rsidRPr="00AF4EBD" w:rsidRDefault="00C20864">
      <w:pPr>
        <w:rPr>
          <w:lang w:val="en-US"/>
        </w:rPr>
      </w:pPr>
    </w:p>
    <w:p w14:paraId="7C8808BD" w14:textId="6DD7B508" w:rsidR="00236B7D" w:rsidRPr="00236B7D" w:rsidRDefault="00FA73C7" w:rsidP="00236B7D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u w:val="single"/>
          <w:lang w:val="en-US"/>
        </w:rPr>
      </w:pPr>
      <w:r w:rsidRPr="00AF4EBD">
        <w:rPr>
          <w:rFonts w:ascii="Times New Roman" w:hAnsi="Times New Roman" w:cs="Times New Roman"/>
          <w:i/>
          <w:u w:val="single"/>
          <w:lang w:val="en-US"/>
        </w:rPr>
        <w:t>Real-time quantitative reverse transcription PCR (RT-qPCR)</w:t>
      </w:r>
    </w:p>
    <w:p w14:paraId="191B6D22" w14:textId="074426D2" w:rsidR="00236B7D" w:rsidRPr="00236B7D" w:rsidRDefault="00236B7D" w:rsidP="00236B7D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lang w:val="en-US"/>
        </w:rPr>
      </w:pPr>
      <w:r w:rsidRPr="00236B7D">
        <w:rPr>
          <w:rFonts w:ascii="Times New Roman" w:hAnsi="Times New Roman" w:cs="Times New Roman"/>
          <w:lang w:val="en-US"/>
        </w:rPr>
        <w:t>Cells were collected in RLT buffer (</w:t>
      </w:r>
      <w:proofErr w:type="spellStart"/>
      <w:r w:rsidRPr="00236B7D">
        <w:rPr>
          <w:rFonts w:ascii="Times New Roman" w:hAnsi="Times New Roman" w:cs="Times New Roman"/>
          <w:lang w:val="en-US"/>
        </w:rPr>
        <w:t>Qiagen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, France) and total mRNAs were extracted using </w:t>
      </w:r>
      <w:proofErr w:type="spellStart"/>
      <w:r w:rsidRPr="00236B7D">
        <w:rPr>
          <w:rFonts w:ascii="Times New Roman" w:hAnsi="Times New Roman" w:cs="Times New Roman"/>
          <w:lang w:val="en-US"/>
        </w:rPr>
        <w:t>RNAeasy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mini kit according to the manufacturer’s instructions (</w:t>
      </w:r>
      <w:proofErr w:type="spellStart"/>
      <w:r w:rsidRPr="00236B7D">
        <w:rPr>
          <w:rFonts w:ascii="Times New Roman" w:hAnsi="Times New Roman" w:cs="Times New Roman"/>
          <w:lang w:val="en-US"/>
        </w:rPr>
        <w:t>Qiagen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, France). Total mRNAs were reverse-transcribed using the </w:t>
      </w:r>
      <w:proofErr w:type="spellStart"/>
      <w:r w:rsidRPr="00236B7D">
        <w:rPr>
          <w:rFonts w:ascii="Times New Roman" w:hAnsi="Times New Roman" w:cs="Times New Roman"/>
          <w:lang w:val="en-US"/>
        </w:rPr>
        <w:t>Taqman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gene expression assay Hs00945142_m1 (</w:t>
      </w:r>
      <w:proofErr w:type="spellStart"/>
      <w:r w:rsidRPr="00236B7D">
        <w:rPr>
          <w:rFonts w:ascii="Times New Roman" w:hAnsi="Times New Roman" w:cs="Times New Roman"/>
          <w:lang w:val="en-US"/>
        </w:rPr>
        <w:t>Thermofisher</w:t>
      </w:r>
      <w:proofErr w:type="spellEnd"/>
      <w:r w:rsidRPr="00236B7D">
        <w:rPr>
          <w:rFonts w:ascii="Times New Roman" w:hAnsi="Times New Roman" w:cs="Times New Roman"/>
          <w:lang w:val="en-US"/>
        </w:rPr>
        <w:t>, France) and the CFX96 real-Time PCR detection system (</w:t>
      </w:r>
      <w:proofErr w:type="spellStart"/>
      <w:r w:rsidRPr="00236B7D">
        <w:rPr>
          <w:rFonts w:ascii="Times New Roman" w:hAnsi="Times New Roman" w:cs="Times New Roman"/>
          <w:lang w:val="en-US"/>
        </w:rPr>
        <w:t>Biorad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, France). Colo320 colon cancer cell line </w:t>
      </w:r>
      <w:r w:rsidR="003D2D01">
        <w:rPr>
          <w:rFonts w:ascii="Times New Roman" w:hAnsi="Times New Roman" w:cs="Times New Roman"/>
          <w:lang w:val="en-US"/>
        </w:rPr>
        <w:t>(</w:t>
      </w:r>
      <w:r w:rsidR="003D2D01" w:rsidRPr="003D2D01">
        <w:rPr>
          <w:rFonts w:ascii="Times New Roman" w:hAnsi="Times New Roman" w:cs="Times New Roman"/>
          <w:lang w:val="en-US"/>
        </w:rPr>
        <w:t>RRID</w:t>
      </w:r>
      <w:proofErr w:type="gramStart"/>
      <w:r w:rsidR="003D2D01" w:rsidRPr="003D2D01">
        <w:rPr>
          <w:rFonts w:ascii="Times New Roman" w:hAnsi="Times New Roman" w:cs="Times New Roman"/>
          <w:lang w:val="en-US"/>
        </w:rPr>
        <w:t>:CVCL</w:t>
      </w:r>
      <w:proofErr w:type="gramEnd"/>
      <w:r w:rsidR="003D2D01" w:rsidRPr="003D2D01">
        <w:rPr>
          <w:rFonts w:ascii="Times New Roman" w:hAnsi="Times New Roman" w:cs="Times New Roman"/>
          <w:lang w:val="en-US"/>
        </w:rPr>
        <w:t>_0219</w:t>
      </w:r>
      <w:r w:rsidR="003D2D01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  <w:lang w:val="en-US"/>
        </w:rPr>
        <w:t xml:space="preserve">) </w:t>
      </w:r>
      <w:r w:rsidRPr="00236B7D">
        <w:rPr>
          <w:rFonts w:ascii="Times New Roman" w:hAnsi="Times New Roman" w:cs="Times New Roman"/>
          <w:lang w:val="en-US"/>
        </w:rPr>
        <w:t>and HT29 colorectal carcinoma cells</w:t>
      </w:r>
      <w:r w:rsidR="003D2D01">
        <w:rPr>
          <w:rFonts w:ascii="Times New Roman" w:hAnsi="Times New Roman" w:cs="Times New Roman"/>
          <w:lang w:val="en-US"/>
        </w:rPr>
        <w:t xml:space="preserve"> (</w:t>
      </w:r>
      <w:r w:rsidR="003D2D01" w:rsidRPr="003D2D01">
        <w:rPr>
          <w:rFonts w:ascii="Times New Roman" w:hAnsi="Times New Roman" w:cs="Times New Roman"/>
          <w:lang w:val="en-US"/>
        </w:rPr>
        <w:t>RRID:CVCL_0320</w:t>
      </w:r>
      <w:r w:rsidR="003D2D01" w:rsidRPr="003D2D01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  <w:lang w:val="en-US"/>
        </w:rPr>
        <w:t>)</w:t>
      </w:r>
      <w:r w:rsidRPr="00236B7D">
        <w:rPr>
          <w:rFonts w:ascii="Times New Roman" w:hAnsi="Times New Roman" w:cs="Times New Roman"/>
          <w:lang w:val="en-US"/>
        </w:rPr>
        <w:t xml:space="preserve"> were used as positive controls of TIE2 expression. A549 lung carcinoma cells</w:t>
      </w:r>
      <w:r w:rsidR="003D2D01">
        <w:rPr>
          <w:rFonts w:ascii="Times New Roman" w:hAnsi="Times New Roman" w:cs="Times New Roman"/>
          <w:lang w:val="en-US"/>
        </w:rPr>
        <w:t xml:space="preserve"> (</w:t>
      </w:r>
      <w:r w:rsidR="003D2D01" w:rsidRPr="003D2D01">
        <w:rPr>
          <w:rFonts w:ascii="Times New Roman" w:hAnsi="Times New Roman" w:cs="Times New Roman"/>
          <w:lang w:val="en-US"/>
        </w:rPr>
        <w:t>RRID</w:t>
      </w:r>
      <w:proofErr w:type="gramStart"/>
      <w:r w:rsidR="003D2D01" w:rsidRPr="003D2D01">
        <w:rPr>
          <w:rFonts w:ascii="Times New Roman" w:hAnsi="Times New Roman" w:cs="Times New Roman"/>
          <w:lang w:val="en-US"/>
        </w:rPr>
        <w:t>:CVCL</w:t>
      </w:r>
      <w:proofErr w:type="gramEnd"/>
      <w:r w:rsidR="003D2D01" w:rsidRPr="003D2D01">
        <w:rPr>
          <w:rFonts w:ascii="Times New Roman" w:hAnsi="Times New Roman" w:cs="Times New Roman"/>
          <w:lang w:val="en-US"/>
        </w:rPr>
        <w:t>_0023</w:t>
      </w:r>
      <w:r w:rsidR="003D2D01"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  <w:lang w:val="en-US"/>
        </w:rPr>
        <w:t>)</w:t>
      </w:r>
      <w:r w:rsidRPr="00236B7D">
        <w:rPr>
          <w:rFonts w:ascii="Times New Roman" w:hAnsi="Times New Roman" w:cs="Times New Roman"/>
          <w:lang w:val="en-US"/>
        </w:rPr>
        <w:t xml:space="preserve"> were used as negative controls. All these cell lines were purchased at ATCC</w:t>
      </w:r>
      <w:r w:rsidR="00814688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  <w:r w:rsidR="006F1221">
        <w:rPr>
          <w:rFonts w:ascii="Times New Roman" w:hAnsi="Times New Roman" w:cs="Times New Roman"/>
          <w:lang w:val="en-US"/>
        </w:rPr>
        <w:t>cryopreserved and</w:t>
      </w:r>
      <w:r w:rsidRPr="00236B7D">
        <w:rPr>
          <w:rFonts w:ascii="Times New Roman" w:hAnsi="Times New Roman" w:cs="Times New Roman"/>
          <w:lang w:val="en-US"/>
        </w:rPr>
        <w:t xml:space="preserve"> routinely tested for mycoplasma with </w:t>
      </w:r>
      <w:proofErr w:type="spellStart"/>
      <w:r w:rsidRPr="00236B7D">
        <w:rPr>
          <w:rFonts w:ascii="Times New Roman" w:hAnsi="Times New Roman" w:cs="Times New Roman"/>
          <w:lang w:val="en-US"/>
        </w:rPr>
        <w:t>Mycoalert</w:t>
      </w:r>
      <w:r w:rsidRPr="00236B7D">
        <w:rPr>
          <w:rFonts w:ascii="Times New Roman" w:hAnsi="Times New Roman" w:cs="Times New Roman"/>
          <w:vertAlign w:val="superscript"/>
          <w:lang w:val="en-US"/>
        </w:rPr>
        <w:t>TM</w:t>
      </w:r>
      <w:proofErr w:type="spellEnd"/>
      <w:r w:rsidRPr="00236B7D">
        <w:rPr>
          <w:rFonts w:ascii="Times New Roman" w:hAnsi="Times New Roman" w:cs="Times New Roman"/>
          <w:lang w:val="en-US"/>
        </w:rPr>
        <w:t xml:space="preserve"> detection kit (</w:t>
      </w:r>
      <w:proofErr w:type="spellStart"/>
      <w:r w:rsidRPr="00236B7D">
        <w:rPr>
          <w:rFonts w:ascii="Times New Roman" w:hAnsi="Times New Roman" w:cs="Times New Roman"/>
          <w:lang w:val="en-US"/>
        </w:rPr>
        <w:t>Lonza</w:t>
      </w:r>
      <w:proofErr w:type="spellEnd"/>
      <w:r w:rsidRPr="00236B7D">
        <w:rPr>
          <w:rFonts w:ascii="Times New Roman" w:hAnsi="Times New Roman" w:cs="Times New Roman"/>
          <w:lang w:val="en-US"/>
        </w:rPr>
        <w:t>, France).</w:t>
      </w:r>
      <w:r>
        <w:rPr>
          <w:rFonts w:ascii="Times New Roman" w:hAnsi="Times New Roman" w:cs="Times New Roman"/>
          <w:lang w:val="en-US"/>
        </w:rPr>
        <w:t xml:space="preserve"> </w:t>
      </w:r>
      <w:r w:rsidRPr="00236B7D">
        <w:rPr>
          <w:rFonts w:ascii="Times New Roman" w:hAnsi="Times New Roman" w:cs="Times New Roman"/>
          <w:lang w:val="en-US"/>
        </w:rPr>
        <w:t xml:space="preserve">Upon receipt, </w:t>
      </w:r>
      <w:r w:rsidR="00814688">
        <w:rPr>
          <w:rFonts w:ascii="Times New Roman" w:hAnsi="Times New Roman" w:cs="Times New Roman"/>
          <w:lang w:val="en-US"/>
        </w:rPr>
        <w:t xml:space="preserve">each cell </w:t>
      </w:r>
      <w:r w:rsidRPr="00236B7D">
        <w:rPr>
          <w:rFonts w:ascii="Times New Roman" w:hAnsi="Times New Roman" w:cs="Times New Roman"/>
          <w:lang w:val="en-US"/>
        </w:rPr>
        <w:t>line was expanded and stock vials</w:t>
      </w:r>
      <w:r w:rsidR="00814688">
        <w:rPr>
          <w:rFonts w:ascii="Times New Roman" w:hAnsi="Times New Roman" w:cs="Times New Roman"/>
          <w:lang w:val="en-US"/>
        </w:rPr>
        <w:t xml:space="preserve"> were</w:t>
      </w:r>
      <w:r w:rsidRPr="00236B7D">
        <w:rPr>
          <w:rFonts w:ascii="Times New Roman" w:hAnsi="Times New Roman" w:cs="Times New Roman"/>
          <w:lang w:val="en-US"/>
        </w:rPr>
        <w:t xml:space="preserve"> frozen.</w:t>
      </w:r>
      <w:r>
        <w:rPr>
          <w:rFonts w:ascii="Times New Roman" w:hAnsi="Times New Roman" w:cs="Times New Roman"/>
          <w:lang w:val="en-US"/>
        </w:rPr>
        <w:t xml:space="preserve"> Each cell line was cultured no longer than </w:t>
      </w:r>
      <w:r w:rsidR="0046493C">
        <w:rPr>
          <w:rFonts w:ascii="Times New Roman" w:hAnsi="Times New Roman" w:cs="Times New Roman"/>
          <w:lang w:val="en-US"/>
        </w:rPr>
        <w:t>one week</w:t>
      </w:r>
      <w:r>
        <w:rPr>
          <w:rFonts w:ascii="Times New Roman" w:hAnsi="Times New Roman" w:cs="Times New Roman"/>
          <w:lang w:val="en-US"/>
        </w:rPr>
        <w:t xml:space="preserve"> before thawing a </w:t>
      </w:r>
      <w:proofErr w:type="spellStart"/>
      <w:r w:rsidR="00562AE9">
        <w:rPr>
          <w:rFonts w:ascii="Times New Roman" w:hAnsi="Times New Roman" w:cs="Times New Roman"/>
          <w:lang w:val="en-US"/>
        </w:rPr>
        <w:t>cryotube</w:t>
      </w:r>
      <w:proofErr w:type="spellEnd"/>
      <w:r>
        <w:rPr>
          <w:rFonts w:ascii="Times New Roman" w:hAnsi="Times New Roman" w:cs="Times New Roman"/>
          <w:lang w:val="en-US"/>
        </w:rPr>
        <w:t xml:space="preserve"> from the original </w:t>
      </w:r>
      <w:r w:rsidR="00562AE9">
        <w:rPr>
          <w:rFonts w:ascii="Times New Roman" w:hAnsi="Times New Roman" w:cs="Times New Roman"/>
          <w:lang w:val="en-US"/>
        </w:rPr>
        <w:t>stock.</w:t>
      </w:r>
    </w:p>
    <w:p w14:paraId="382491B1" w14:textId="77777777" w:rsidR="00FA73C7" w:rsidRPr="00FA73C7" w:rsidRDefault="00FA73C7">
      <w:pPr>
        <w:rPr>
          <w:lang w:val="en-US"/>
        </w:rPr>
      </w:pPr>
    </w:p>
    <w:sectPr w:rsidR="00FA73C7" w:rsidRPr="00FA7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15545" w14:textId="77777777" w:rsidR="005E7581" w:rsidRDefault="005E7581" w:rsidP="005E7581">
      <w:r>
        <w:separator/>
      </w:r>
    </w:p>
  </w:endnote>
  <w:endnote w:type="continuationSeparator" w:id="0">
    <w:p w14:paraId="3F2CCDBD" w14:textId="77777777" w:rsidR="005E7581" w:rsidRDefault="005E7581" w:rsidP="005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D4F6" w14:textId="77777777" w:rsidR="005E7581" w:rsidRDefault="005E75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2710" w14:textId="77777777" w:rsidR="005E7581" w:rsidRDefault="005E75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C2536" w14:textId="77777777" w:rsidR="005E7581" w:rsidRDefault="005E75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DC25" w14:textId="77777777" w:rsidR="005E7581" w:rsidRDefault="005E7581" w:rsidP="005E7581">
      <w:r>
        <w:separator/>
      </w:r>
    </w:p>
  </w:footnote>
  <w:footnote w:type="continuationSeparator" w:id="0">
    <w:p w14:paraId="7391EB00" w14:textId="77777777" w:rsidR="005E7581" w:rsidRDefault="005E7581" w:rsidP="005E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23FB" w14:textId="77777777" w:rsidR="005E7581" w:rsidRDefault="005E75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6BC8" w14:textId="77777777" w:rsidR="005E7581" w:rsidRDefault="005E75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F9CAC" w14:textId="77777777" w:rsidR="005E7581" w:rsidRDefault="005E75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A"/>
    <w:rsid w:val="00236B7D"/>
    <w:rsid w:val="003128F1"/>
    <w:rsid w:val="003A47DA"/>
    <w:rsid w:val="003D2D01"/>
    <w:rsid w:val="004011CB"/>
    <w:rsid w:val="004308FB"/>
    <w:rsid w:val="0046493C"/>
    <w:rsid w:val="00562AE9"/>
    <w:rsid w:val="00590C25"/>
    <w:rsid w:val="005E7568"/>
    <w:rsid w:val="005E7581"/>
    <w:rsid w:val="006F1221"/>
    <w:rsid w:val="007346FE"/>
    <w:rsid w:val="007719C7"/>
    <w:rsid w:val="00796031"/>
    <w:rsid w:val="00814688"/>
    <w:rsid w:val="00AB74C7"/>
    <w:rsid w:val="00AF4EBD"/>
    <w:rsid w:val="00BD202C"/>
    <w:rsid w:val="00C20864"/>
    <w:rsid w:val="00D37264"/>
    <w:rsid w:val="00DC2BA3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0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D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A73C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A73C7"/>
  </w:style>
  <w:style w:type="character" w:customStyle="1" w:styleId="CommentaireCar">
    <w:name w:val="Commentaire Car"/>
    <w:basedOn w:val="Policepardfaut"/>
    <w:link w:val="Commentaire"/>
    <w:uiPriority w:val="99"/>
    <w:rsid w:val="00FA73C7"/>
    <w:rPr>
      <w:rFonts w:eastAsiaTheme="minorEastAsi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3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C7"/>
    <w:rPr>
      <w:rFonts w:ascii="Segoe UI" w:eastAsiaTheme="minorEastAsia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DC2B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E75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581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E7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581"/>
    <w:rPr>
      <w:rFonts w:eastAsiaTheme="minorEastAsia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D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A73C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A73C7"/>
  </w:style>
  <w:style w:type="character" w:customStyle="1" w:styleId="CommentaireCar">
    <w:name w:val="Commentaire Car"/>
    <w:basedOn w:val="Policepardfaut"/>
    <w:link w:val="Commentaire"/>
    <w:uiPriority w:val="99"/>
    <w:rsid w:val="00FA73C7"/>
    <w:rPr>
      <w:rFonts w:eastAsiaTheme="minorEastAsi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3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3C7"/>
    <w:rPr>
      <w:rFonts w:ascii="Segoe UI" w:eastAsiaTheme="minorEastAsia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DC2B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E75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581"/>
    <w:rPr>
      <w:rFonts w:eastAsiaTheme="minorEastAsi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E75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581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2019-09-25T19:22:00Z</dcterms:created>
  <dcterms:modified xsi:type="dcterms:W3CDTF">2019-09-25T19:23:00Z</dcterms:modified>
</cp:coreProperties>
</file>