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A8945" w14:textId="472E9D63" w:rsidR="00102546" w:rsidRDefault="00102546" w:rsidP="00102546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02546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839E861" wp14:editId="7094A90D">
            <wp:extent cx="58039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3E04" w14:textId="6164D859" w:rsidR="00102546" w:rsidRDefault="00102546" w:rsidP="00102546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 w:rsidRPr="004F3855">
        <w:rPr>
          <w:rFonts w:ascii="Arial" w:hAnsi="Arial" w:cs="Arial"/>
          <w:b/>
          <w:bCs/>
          <w:sz w:val="22"/>
          <w:szCs w:val="22"/>
        </w:rPr>
        <w:t>Supplementary Fig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4F3855">
        <w:rPr>
          <w:rFonts w:ascii="Arial" w:hAnsi="Arial" w:cs="Arial"/>
          <w:b/>
          <w:bCs/>
          <w:sz w:val="22"/>
          <w:szCs w:val="22"/>
        </w:rPr>
        <w:t xml:space="preserve"> 3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S</w:t>
      </w:r>
      <w:r w:rsidRPr="008F0104">
        <w:rPr>
          <w:rFonts w:ascii="Arial" w:hAnsi="Arial" w:cs="Arial"/>
          <w:b/>
          <w:sz w:val="22"/>
          <w:szCs w:val="22"/>
        </w:rPr>
        <w:t>elected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F0104">
        <w:rPr>
          <w:rFonts w:ascii="Arial" w:hAnsi="Arial" w:cs="Arial"/>
          <w:b/>
          <w:sz w:val="22"/>
          <w:szCs w:val="22"/>
        </w:rPr>
        <w:t>convergent groups</w:t>
      </w:r>
      <w:r>
        <w:rPr>
          <w:rFonts w:ascii="Arial" w:hAnsi="Arial" w:cs="Arial"/>
          <w:b/>
          <w:sz w:val="22"/>
          <w:szCs w:val="22"/>
        </w:rPr>
        <w:t>.</w:t>
      </w:r>
      <w:r w:rsidRPr="008F0104">
        <w:rPr>
          <w:rFonts w:ascii="Arial" w:hAnsi="Arial" w:cs="Arial"/>
          <w:b/>
          <w:sz w:val="22"/>
          <w:szCs w:val="22"/>
        </w:rPr>
        <w:t xml:space="preserve"> 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(A) </w:t>
      </w:r>
      <w:r>
        <w:rPr>
          <w:rFonts w:ascii="Arial" w:hAnsi="Arial" w:cs="Arial"/>
          <w:b/>
          <w:bCs/>
          <w:sz w:val="22"/>
          <w:szCs w:val="22"/>
        </w:rPr>
        <w:t>Illustration of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 the </w:t>
      </w:r>
      <w:r>
        <w:rPr>
          <w:rFonts w:ascii="Arial" w:hAnsi="Arial" w:cs="Arial"/>
          <w:b/>
          <w:bCs/>
          <w:sz w:val="22"/>
          <w:szCs w:val="22"/>
        </w:rPr>
        <w:t>group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s </w:t>
      </w:r>
      <w:r>
        <w:rPr>
          <w:rFonts w:ascii="Arial" w:hAnsi="Arial" w:cs="Arial"/>
          <w:b/>
          <w:bCs/>
          <w:sz w:val="22"/>
          <w:szCs w:val="22"/>
        </w:rPr>
        <w:t>that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 </w:t>
      </w:r>
      <w:r w:rsidR="005966D3">
        <w:rPr>
          <w:rFonts w:ascii="Arial" w:hAnsi="Arial" w:cs="Arial"/>
          <w:b/>
          <w:bCs/>
          <w:sz w:val="22"/>
          <w:szCs w:val="22"/>
        </w:rPr>
        <w:t xml:space="preserve">are persistently 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present across all time points for the </w:t>
      </w:r>
      <w:r w:rsidRPr="00B44A85">
        <w:rPr>
          <w:rFonts w:ascii="Arial" w:hAnsi="Arial" w:cs="Arial"/>
          <w:b/>
          <w:sz w:val="22"/>
          <w:szCs w:val="22"/>
        </w:rPr>
        <w:t xml:space="preserve">treated </w:t>
      </w:r>
      <w:r>
        <w:rPr>
          <w:rFonts w:ascii="Arial" w:hAnsi="Arial" w:cs="Arial"/>
          <w:b/>
          <w:sz w:val="22"/>
          <w:szCs w:val="22"/>
        </w:rPr>
        <w:t>patient</w:t>
      </w:r>
      <w:r w:rsidRPr="00B44A85">
        <w:rPr>
          <w:rFonts w:ascii="Arial" w:hAnsi="Arial" w:cs="Arial"/>
          <w:b/>
          <w:bCs/>
          <w:sz w:val="22"/>
          <w:szCs w:val="22"/>
        </w:rPr>
        <w:t>.</w:t>
      </w:r>
      <w:r w:rsidRPr="00EF0ADC">
        <w:rPr>
          <w:rFonts w:ascii="Arial" w:hAnsi="Arial" w:cs="Arial"/>
          <w:b/>
          <w:bCs/>
          <w:sz w:val="22"/>
          <w:szCs w:val="22"/>
        </w:rPr>
        <w:t xml:space="preserve"> 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(B) </w:t>
      </w:r>
      <w:r>
        <w:rPr>
          <w:rFonts w:ascii="Arial" w:hAnsi="Arial" w:cs="Arial"/>
          <w:b/>
          <w:bCs/>
          <w:sz w:val="22"/>
          <w:szCs w:val="22"/>
        </w:rPr>
        <w:t xml:space="preserve">Illustration of the groups 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induced </w:t>
      </w:r>
      <w:r>
        <w:rPr>
          <w:rFonts w:ascii="Arial" w:hAnsi="Arial" w:cs="Arial"/>
          <w:b/>
          <w:bCs/>
          <w:sz w:val="22"/>
          <w:szCs w:val="22"/>
        </w:rPr>
        <w:t>in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 the </w:t>
      </w:r>
      <w:r w:rsidRPr="00B44A85">
        <w:rPr>
          <w:rFonts w:ascii="Arial" w:hAnsi="Arial" w:cs="Arial"/>
          <w:b/>
          <w:sz w:val="22"/>
          <w:szCs w:val="22"/>
        </w:rPr>
        <w:t xml:space="preserve">treated </w:t>
      </w:r>
      <w:r>
        <w:rPr>
          <w:rFonts w:ascii="Arial" w:hAnsi="Arial" w:cs="Arial"/>
          <w:b/>
          <w:sz w:val="22"/>
          <w:szCs w:val="22"/>
        </w:rPr>
        <w:t>patient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. (C) </w:t>
      </w:r>
      <w:r>
        <w:rPr>
          <w:rFonts w:ascii="Arial" w:hAnsi="Arial" w:cs="Arial"/>
          <w:b/>
          <w:bCs/>
          <w:sz w:val="22"/>
          <w:szCs w:val="22"/>
        </w:rPr>
        <w:t xml:space="preserve">Illustration of 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the induced </w:t>
      </w:r>
      <w:r>
        <w:rPr>
          <w:rFonts w:ascii="Arial" w:hAnsi="Arial" w:cs="Arial"/>
          <w:b/>
          <w:bCs/>
          <w:sz w:val="22"/>
          <w:szCs w:val="22"/>
        </w:rPr>
        <w:t>group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s </w:t>
      </w:r>
      <w:r>
        <w:rPr>
          <w:rFonts w:ascii="Arial" w:hAnsi="Arial" w:cs="Arial"/>
          <w:b/>
          <w:bCs/>
          <w:sz w:val="22"/>
          <w:szCs w:val="22"/>
        </w:rPr>
        <w:t>in</w:t>
      </w:r>
      <w:r w:rsidRPr="00B44A85">
        <w:rPr>
          <w:rFonts w:ascii="Arial" w:hAnsi="Arial" w:cs="Arial"/>
          <w:b/>
          <w:bCs/>
          <w:sz w:val="22"/>
          <w:szCs w:val="22"/>
        </w:rPr>
        <w:t xml:space="preserve"> the </w:t>
      </w:r>
      <w:r w:rsidRPr="00B44A85">
        <w:rPr>
          <w:rFonts w:ascii="Arial" w:hAnsi="Arial" w:cs="Arial"/>
          <w:b/>
          <w:sz w:val="22"/>
          <w:szCs w:val="22"/>
        </w:rPr>
        <w:t xml:space="preserve">naive </w:t>
      </w:r>
      <w:r>
        <w:rPr>
          <w:rFonts w:ascii="Arial" w:hAnsi="Arial" w:cs="Arial"/>
          <w:b/>
          <w:sz w:val="22"/>
          <w:szCs w:val="22"/>
        </w:rPr>
        <w:t>patient</w:t>
      </w:r>
      <w:r w:rsidRPr="00B44A85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Each figure</w:t>
      </w:r>
      <w:r>
        <w:rPr>
          <w:rFonts w:ascii="Arial" w:hAnsi="Arial" w:cs="Arial"/>
          <w:sz w:val="22"/>
          <w:szCs w:val="22"/>
        </w:rPr>
        <w:t xml:space="preserve"> includes the actual nucleotide sequences corresponding to Fig 3E-3G.  The colors were coded by ACTG (only first 60 base</w:t>
      </w:r>
      <w:r w:rsidR="005966D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pairs were retained due to </w:t>
      </w:r>
      <w:r w:rsidR="005966D3">
        <w:rPr>
          <w:rFonts w:ascii="Arial" w:hAnsi="Arial" w:cs="Arial"/>
          <w:sz w:val="22"/>
          <w:szCs w:val="22"/>
        </w:rPr>
        <w:t xml:space="preserve">space </w:t>
      </w:r>
      <w:r>
        <w:rPr>
          <w:rFonts w:ascii="Arial" w:hAnsi="Arial" w:cs="Arial"/>
          <w:sz w:val="22"/>
          <w:szCs w:val="22"/>
        </w:rPr>
        <w:t>limit</w:t>
      </w:r>
      <w:r w:rsidR="005966D3">
        <w:rPr>
          <w:rFonts w:ascii="Arial" w:hAnsi="Arial" w:cs="Arial"/>
          <w:sz w:val="22"/>
          <w:szCs w:val="22"/>
        </w:rPr>
        <w:t>ations</w:t>
      </w:r>
      <w:r>
        <w:rPr>
          <w:rFonts w:ascii="Arial" w:hAnsi="Arial" w:cs="Arial"/>
          <w:sz w:val="22"/>
          <w:szCs w:val="22"/>
        </w:rPr>
        <w:t>). The yellow highlight</w:t>
      </w:r>
      <w:r w:rsidR="005966D3">
        <w:rPr>
          <w:rFonts w:ascii="Arial" w:hAnsi="Arial" w:cs="Arial"/>
          <w:sz w:val="22"/>
          <w:szCs w:val="22"/>
        </w:rPr>
        <w:t>ing</w:t>
      </w:r>
      <w:r>
        <w:rPr>
          <w:rFonts w:ascii="Arial" w:hAnsi="Arial" w:cs="Arial"/>
          <w:sz w:val="22"/>
          <w:szCs w:val="22"/>
        </w:rPr>
        <w:t xml:space="preserve"> </w:t>
      </w:r>
      <w:r w:rsidR="005966D3">
        <w:rPr>
          <w:rFonts w:ascii="Arial" w:hAnsi="Arial" w:cs="Arial"/>
          <w:sz w:val="22"/>
          <w:szCs w:val="22"/>
        </w:rPr>
        <w:t xml:space="preserve">shows </w:t>
      </w:r>
      <w:r>
        <w:rPr>
          <w:rFonts w:ascii="Arial" w:hAnsi="Arial" w:cs="Arial"/>
          <w:sz w:val="22"/>
          <w:szCs w:val="22"/>
        </w:rPr>
        <w:t xml:space="preserve">the hypermutation in the nucleotide sequence, </w:t>
      </w:r>
      <w:r w:rsidR="005966D3">
        <w:rPr>
          <w:rFonts w:ascii="Arial" w:hAnsi="Arial" w:cs="Arial"/>
          <w:sz w:val="22"/>
          <w:szCs w:val="22"/>
        </w:rPr>
        <w:t xml:space="preserve">while </w:t>
      </w:r>
      <w:r>
        <w:rPr>
          <w:rFonts w:ascii="Arial" w:hAnsi="Arial" w:cs="Arial"/>
          <w:sz w:val="22"/>
          <w:szCs w:val="22"/>
        </w:rPr>
        <w:t xml:space="preserve">the bottom row </w:t>
      </w:r>
      <w:r w:rsidR="005966D3">
        <w:rPr>
          <w:rFonts w:ascii="Arial" w:hAnsi="Arial" w:cs="Arial"/>
          <w:sz w:val="22"/>
          <w:szCs w:val="22"/>
        </w:rPr>
        <w:lastRenderedPageBreak/>
        <w:t xml:space="preserve">shows </w:t>
      </w:r>
      <w:r>
        <w:rPr>
          <w:rFonts w:ascii="Arial" w:hAnsi="Arial" w:cs="Arial"/>
          <w:sz w:val="22"/>
          <w:szCs w:val="22"/>
        </w:rPr>
        <w:t>the motif analysis. The tables present the clonal abundance for corresponding clones each time point.</w:t>
      </w:r>
    </w:p>
    <w:p w14:paraId="6A83BAEB" w14:textId="0BF81766" w:rsidR="00102546" w:rsidRDefault="00102546">
      <w:pPr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</w:p>
    <w:sectPr w:rsidR="00102546" w:rsidSect="00410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46"/>
    <w:rsid w:val="000358C0"/>
    <w:rsid w:val="00102546"/>
    <w:rsid w:val="0014674A"/>
    <w:rsid w:val="00150B1F"/>
    <w:rsid w:val="001F5D6A"/>
    <w:rsid w:val="0022159D"/>
    <w:rsid w:val="00257EBB"/>
    <w:rsid w:val="00362BC2"/>
    <w:rsid w:val="003A7250"/>
    <w:rsid w:val="003E56F6"/>
    <w:rsid w:val="004106BC"/>
    <w:rsid w:val="00562D43"/>
    <w:rsid w:val="005966D3"/>
    <w:rsid w:val="005D53C6"/>
    <w:rsid w:val="005E4231"/>
    <w:rsid w:val="0067654B"/>
    <w:rsid w:val="00696D47"/>
    <w:rsid w:val="00702190"/>
    <w:rsid w:val="007230BC"/>
    <w:rsid w:val="00754F8C"/>
    <w:rsid w:val="007C3D82"/>
    <w:rsid w:val="007C452B"/>
    <w:rsid w:val="00813A87"/>
    <w:rsid w:val="00842B7B"/>
    <w:rsid w:val="008D282D"/>
    <w:rsid w:val="008E38A8"/>
    <w:rsid w:val="00940DDE"/>
    <w:rsid w:val="00A52390"/>
    <w:rsid w:val="00B8201F"/>
    <w:rsid w:val="00BF702A"/>
    <w:rsid w:val="00C813D8"/>
    <w:rsid w:val="00CE1586"/>
    <w:rsid w:val="00D346C8"/>
    <w:rsid w:val="00DA6914"/>
    <w:rsid w:val="00DD5B16"/>
    <w:rsid w:val="00DE10C6"/>
    <w:rsid w:val="00E44BB4"/>
    <w:rsid w:val="00E7440E"/>
    <w:rsid w:val="00E937EC"/>
    <w:rsid w:val="00EB26DB"/>
    <w:rsid w:val="00EC474F"/>
    <w:rsid w:val="00F3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1E268"/>
  <w14:defaultImageDpi w14:val="32767"/>
  <w15:chartTrackingRefBased/>
  <w15:docId w15:val="{B443C260-DFF3-A74D-A25B-B86CFE07A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25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DD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DD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0D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D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D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D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D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Li</dc:creator>
  <cp:keywords/>
  <dc:description/>
  <cp:lastModifiedBy>Zhang, Li</cp:lastModifiedBy>
  <cp:revision>6</cp:revision>
  <dcterms:created xsi:type="dcterms:W3CDTF">2020-07-08T16:18:00Z</dcterms:created>
  <dcterms:modified xsi:type="dcterms:W3CDTF">2020-07-08T20:32:00Z</dcterms:modified>
</cp:coreProperties>
</file>