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98796" w14:textId="77777777" w:rsidR="009F4186" w:rsidRDefault="009F4186" w:rsidP="009F4186">
      <w:pPr>
        <w:jc w:val="center"/>
        <w:rPr>
          <w:rFonts w:ascii="Arial" w:hAnsi="Arial" w:cs="Arial"/>
          <w:b/>
          <w:bCs/>
          <w:color w:val="000000" w:themeColor="text1"/>
          <w:szCs w:val="24"/>
        </w:rPr>
      </w:pPr>
    </w:p>
    <w:p w14:paraId="4AF488A5" w14:textId="77777777" w:rsidR="009F4186" w:rsidRDefault="009F4186" w:rsidP="009F4186">
      <w:pPr>
        <w:jc w:val="center"/>
        <w:rPr>
          <w:rFonts w:ascii="Arial" w:hAnsi="Arial" w:cs="Arial"/>
          <w:b/>
          <w:bCs/>
          <w:color w:val="000000" w:themeColor="text1"/>
          <w:szCs w:val="24"/>
        </w:rPr>
      </w:pPr>
    </w:p>
    <w:p w14:paraId="649A09E1" w14:textId="77777777" w:rsidR="009F4186" w:rsidRDefault="009F4186" w:rsidP="009F4186">
      <w:pPr>
        <w:jc w:val="center"/>
        <w:rPr>
          <w:rFonts w:ascii="Arial" w:hAnsi="Arial" w:cs="Arial"/>
          <w:b/>
          <w:bCs/>
          <w:color w:val="000000" w:themeColor="text1"/>
          <w:szCs w:val="24"/>
        </w:rPr>
      </w:pPr>
    </w:p>
    <w:p w14:paraId="55684C8D" w14:textId="77777777" w:rsidR="009F4186" w:rsidRDefault="009F4186" w:rsidP="009F4186">
      <w:pPr>
        <w:jc w:val="center"/>
        <w:rPr>
          <w:rFonts w:ascii="Arial" w:hAnsi="Arial" w:cs="Arial"/>
          <w:b/>
          <w:bCs/>
          <w:color w:val="000000" w:themeColor="text1"/>
          <w:szCs w:val="24"/>
        </w:rPr>
      </w:pPr>
    </w:p>
    <w:p w14:paraId="46DC7923" w14:textId="77777777" w:rsidR="009F4186" w:rsidRDefault="009F4186" w:rsidP="009F4186">
      <w:pPr>
        <w:jc w:val="center"/>
        <w:rPr>
          <w:rFonts w:ascii="Arial" w:hAnsi="Arial" w:cs="Arial"/>
          <w:b/>
          <w:bCs/>
          <w:color w:val="000000" w:themeColor="text1"/>
          <w:szCs w:val="24"/>
        </w:rPr>
      </w:pPr>
    </w:p>
    <w:p w14:paraId="59964128" w14:textId="7C8827A9" w:rsidR="002C0D84" w:rsidRDefault="002C0D84" w:rsidP="009F4186">
      <w:pPr>
        <w:jc w:val="center"/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t>Supplemental material</w:t>
      </w:r>
      <w:r w:rsidR="009F4186">
        <w:rPr>
          <w:rFonts w:ascii="Arial" w:hAnsi="Arial" w:cs="Arial"/>
          <w:b/>
          <w:bCs/>
          <w:color w:val="000000" w:themeColor="text1"/>
          <w:szCs w:val="24"/>
        </w:rPr>
        <w:t>s</w:t>
      </w:r>
    </w:p>
    <w:p w14:paraId="0E667815" w14:textId="0C197082" w:rsidR="009F4186" w:rsidRDefault="009F4186" w:rsidP="009F4186">
      <w:pPr>
        <w:jc w:val="center"/>
        <w:rPr>
          <w:rFonts w:ascii="Arial" w:hAnsi="Arial" w:cs="Arial"/>
          <w:b/>
          <w:bCs/>
          <w:color w:val="000000" w:themeColor="text1"/>
          <w:szCs w:val="24"/>
        </w:rPr>
      </w:pPr>
    </w:p>
    <w:p w14:paraId="46FDEB84" w14:textId="1640FAF3" w:rsidR="009F4186" w:rsidRDefault="009F4186" w:rsidP="009F4186">
      <w:pPr>
        <w:jc w:val="center"/>
        <w:rPr>
          <w:rFonts w:ascii="Arial" w:hAnsi="Arial" w:cs="Arial"/>
          <w:b/>
          <w:bCs/>
          <w:color w:val="000000" w:themeColor="text1"/>
          <w:szCs w:val="24"/>
        </w:rPr>
      </w:pPr>
    </w:p>
    <w:p w14:paraId="55E80781" w14:textId="77777777" w:rsidR="009F4186" w:rsidRDefault="009F4186" w:rsidP="009F4186">
      <w:pPr>
        <w:jc w:val="center"/>
        <w:rPr>
          <w:rFonts w:ascii="Arial" w:hAnsi="Arial" w:cs="Arial"/>
          <w:b/>
          <w:bCs/>
          <w:color w:val="000000" w:themeColor="text1"/>
          <w:szCs w:val="24"/>
        </w:rPr>
      </w:pPr>
    </w:p>
    <w:p w14:paraId="244BC87B" w14:textId="0A56E716" w:rsidR="009F4186" w:rsidRDefault="009F4186" w:rsidP="009F4186">
      <w:pPr>
        <w:jc w:val="center"/>
        <w:rPr>
          <w:rFonts w:ascii="Arial" w:hAnsi="Arial" w:cs="Arial"/>
          <w:b/>
          <w:bCs/>
          <w:color w:val="000000" w:themeColor="text1"/>
          <w:szCs w:val="24"/>
        </w:rPr>
      </w:pPr>
    </w:p>
    <w:p w14:paraId="6EFC35DC" w14:textId="49F2056D" w:rsidR="009F4186" w:rsidRPr="000154DF" w:rsidRDefault="009F4186" w:rsidP="009F4186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Cs w:val="24"/>
        </w:rPr>
      </w:pPr>
      <w:r w:rsidRPr="000154DF">
        <w:rPr>
          <w:rFonts w:ascii="Arial" w:hAnsi="Arial" w:cs="Arial"/>
          <w:b/>
          <w:bCs/>
          <w:color w:val="000000" w:themeColor="text1"/>
          <w:szCs w:val="24"/>
        </w:rPr>
        <w:t xml:space="preserve">Pharmacological inhibition of FGFR modulates the metastatic immune microenvironment and promotes response to </w:t>
      </w:r>
      <w:r w:rsidR="00B70BC1">
        <w:rPr>
          <w:rFonts w:ascii="Arial" w:hAnsi="Arial" w:cs="Arial"/>
          <w:b/>
          <w:bCs/>
          <w:color w:val="000000" w:themeColor="text1"/>
          <w:szCs w:val="24"/>
        </w:rPr>
        <w:t xml:space="preserve">immune </w:t>
      </w:r>
      <w:r w:rsidRPr="000154DF">
        <w:rPr>
          <w:rFonts w:ascii="Arial" w:hAnsi="Arial" w:cs="Arial"/>
          <w:b/>
          <w:bCs/>
          <w:color w:val="000000" w:themeColor="text1"/>
          <w:szCs w:val="24"/>
        </w:rPr>
        <w:t>checkpoint blockade</w:t>
      </w:r>
    </w:p>
    <w:p w14:paraId="5CAB24AB" w14:textId="77777777" w:rsidR="009F4186" w:rsidRPr="000154DF" w:rsidRDefault="009F4186" w:rsidP="009F4186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Cs w:val="24"/>
        </w:rPr>
      </w:pPr>
    </w:p>
    <w:p w14:paraId="2CAA95C1" w14:textId="38AC7D1B" w:rsidR="009F4186" w:rsidRPr="000154DF" w:rsidRDefault="009F4186" w:rsidP="009F4186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Cs w:val="24"/>
          <w:vertAlign w:val="superscript"/>
        </w:rPr>
      </w:pPr>
      <w:r w:rsidRPr="000154DF">
        <w:rPr>
          <w:rFonts w:ascii="Arial" w:hAnsi="Arial" w:cs="Arial"/>
          <w:color w:val="000000" w:themeColor="text1"/>
          <w:szCs w:val="24"/>
        </w:rPr>
        <w:t>Saeed S Akhand</w:t>
      </w:r>
      <w:r w:rsidRPr="000154DF">
        <w:rPr>
          <w:rFonts w:ascii="Arial" w:hAnsi="Arial" w:cs="Arial"/>
          <w:color w:val="000000" w:themeColor="text1"/>
          <w:szCs w:val="24"/>
          <w:vertAlign w:val="superscript"/>
        </w:rPr>
        <w:t>1</w:t>
      </w:r>
      <w:r w:rsidRPr="000154DF">
        <w:rPr>
          <w:rFonts w:ascii="Arial" w:hAnsi="Arial" w:cs="Arial"/>
          <w:color w:val="000000" w:themeColor="text1"/>
          <w:szCs w:val="24"/>
        </w:rPr>
        <w:t xml:space="preserve">, </w:t>
      </w:r>
      <w:proofErr w:type="spellStart"/>
      <w:r w:rsidRPr="000154DF">
        <w:rPr>
          <w:rFonts w:ascii="Arial" w:hAnsi="Arial" w:cs="Arial"/>
          <w:color w:val="000000" w:themeColor="text1"/>
          <w:szCs w:val="24"/>
        </w:rPr>
        <w:t>Zian</w:t>
      </w:r>
      <w:proofErr w:type="spellEnd"/>
      <w:r w:rsidRPr="000154DF">
        <w:rPr>
          <w:rFonts w:ascii="Arial" w:hAnsi="Arial" w:cs="Arial"/>
          <w:color w:val="000000" w:themeColor="text1"/>
          <w:szCs w:val="24"/>
        </w:rPr>
        <w:t xml:space="preserve"> Liu</w:t>
      </w:r>
      <w:r w:rsidRPr="000154DF">
        <w:rPr>
          <w:rFonts w:ascii="Arial" w:hAnsi="Arial" w:cs="Arial"/>
          <w:color w:val="000000" w:themeColor="text1"/>
          <w:szCs w:val="24"/>
          <w:vertAlign w:val="superscript"/>
        </w:rPr>
        <w:t>1</w:t>
      </w:r>
      <w:r w:rsidRPr="000154DF">
        <w:rPr>
          <w:rFonts w:ascii="Arial" w:hAnsi="Arial" w:cs="Arial"/>
          <w:color w:val="000000" w:themeColor="text1"/>
          <w:szCs w:val="24"/>
        </w:rPr>
        <w:t xml:space="preserve">, </w:t>
      </w:r>
      <w:r w:rsidR="00CE56B3">
        <w:rPr>
          <w:rFonts w:ascii="Arial" w:hAnsi="Arial" w:cs="Arial"/>
          <w:color w:val="000000" w:themeColor="text1"/>
          <w:szCs w:val="24"/>
        </w:rPr>
        <w:t>Stephen C.</w:t>
      </w:r>
      <w:r w:rsidRPr="000154DF">
        <w:rPr>
          <w:rFonts w:ascii="Arial" w:hAnsi="Arial" w:cs="Arial"/>
          <w:color w:val="000000" w:themeColor="text1"/>
          <w:szCs w:val="24"/>
        </w:rPr>
        <w:t xml:space="preserve"> Purdy</w:t>
      </w:r>
      <w:r w:rsidRPr="000154DF">
        <w:rPr>
          <w:rFonts w:ascii="Arial" w:hAnsi="Arial" w:cs="Arial"/>
          <w:color w:val="000000" w:themeColor="text1"/>
          <w:szCs w:val="24"/>
          <w:vertAlign w:val="superscript"/>
        </w:rPr>
        <w:t>1</w:t>
      </w:r>
      <w:r w:rsidRPr="000154DF">
        <w:rPr>
          <w:rFonts w:ascii="Arial" w:hAnsi="Arial" w:cs="Arial"/>
          <w:color w:val="000000" w:themeColor="text1"/>
          <w:szCs w:val="24"/>
        </w:rPr>
        <w:t xml:space="preserve">, </w:t>
      </w:r>
      <w:proofErr w:type="spellStart"/>
      <w:r w:rsidRPr="000154DF">
        <w:rPr>
          <w:rFonts w:ascii="Arial" w:hAnsi="Arial" w:cs="Arial"/>
          <w:color w:val="000000" w:themeColor="text1"/>
          <w:szCs w:val="24"/>
        </w:rPr>
        <w:t>Ammara</w:t>
      </w:r>
      <w:proofErr w:type="spellEnd"/>
      <w:r w:rsidRPr="000154DF">
        <w:rPr>
          <w:rFonts w:ascii="Arial" w:hAnsi="Arial" w:cs="Arial"/>
          <w:color w:val="000000" w:themeColor="text1"/>
          <w:szCs w:val="24"/>
        </w:rPr>
        <w:t xml:space="preserve"> Abdullah</w:t>
      </w:r>
      <w:r w:rsidRPr="000154DF">
        <w:rPr>
          <w:rFonts w:ascii="Arial" w:hAnsi="Arial" w:cs="Arial"/>
          <w:color w:val="000000" w:themeColor="text1"/>
          <w:szCs w:val="24"/>
          <w:vertAlign w:val="superscript"/>
        </w:rPr>
        <w:t>1</w:t>
      </w:r>
      <w:r w:rsidRPr="000154DF">
        <w:rPr>
          <w:rFonts w:ascii="Arial" w:hAnsi="Arial" w:cs="Arial"/>
          <w:color w:val="000000" w:themeColor="text1"/>
          <w:szCs w:val="24"/>
        </w:rPr>
        <w:t>, Hang Lin</w:t>
      </w:r>
      <w:proofErr w:type="gramStart"/>
      <w:r w:rsidRPr="000154DF">
        <w:rPr>
          <w:rFonts w:ascii="Arial" w:hAnsi="Arial" w:cs="Arial"/>
          <w:color w:val="000000" w:themeColor="text1"/>
          <w:szCs w:val="24"/>
          <w:vertAlign w:val="superscript"/>
        </w:rPr>
        <w:t>1</w:t>
      </w:r>
      <w:r w:rsidRPr="000154DF">
        <w:rPr>
          <w:rFonts w:ascii="Arial" w:hAnsi="Arial" w:cs="Arial"/>
          <w:color w:val="000000" w:themeColor="text1"/>
          <w:szCs w:val="24"/>
        </w:rPr>
        <w:t>,Greg</w:t>
      </w:r>
      <w:r w:rsidR="00CE56B3">
        <w:rPr>
          <w:rFonts w:ascii="Arial" w:hAnsi="Arial" w:cs="Arial"/>
          <w:color w:val="000000" w:themeColor="text1"/>
          <w:szCs w:val="24"/>
        </w:rPr>
        <w:t>ory</w:t>
      </w:r>
      <w:proofErr w:type="gramEnd"/>
      <w:r w:rsidR="00CE56B3">
        <w:rPr>
          <w:rFonts w:ascii="Arial" w:hAnsi="Arial" w:cs="Arial"/>
          <w:color w:val="000000" w:themeColor="text1"/>
          <w:szCs w:val="24"/>
        </w:rPr>
        <w:t xml:space="preserve"> M.</w:t>
      </w:r>
      <w:r w:rsidRPr="000154DF">
        <w:rPr>
          <w:rFonts w:ascii="Arial" w:hAnsi="Arial" w:cs="Arial"/>
          <w:color w:val="000000" w:themeColor="text1"/>
          <w:szCs w:val="24"/>
        </w:rPr>
        <w:t xml:space="preserve"> Cresswell</w:t>
      </w:r>
      <w:r w:rsidRPr="000154DF">
        <w:rPr>
          <w:rFonts w:ascii="Arial" w:hAnsi="Arial" w:cs="Arial"/>
          <w:color w:val="000000" w:themeColor="text1"/>
          <w:szCs w:val="24"/>
          <w:vertAlign w:val="superscript"/>
        </w:rPr>
        <w:t>2</w:t>
      </w:r>
      <w:r w:rsidRPr="000154DF">
        <w:rPr>
          <w:rFonts w:ascii="Arial" w:hAnsi="Arial" w:cs="Arial"/>
          <w:color w:val="000000" w:themeColor="text1"/>
          <w:szCs w:val="24"/>
        </w:rPr>
        <w:t>, Timothy</w:t>
      </w:r>
      <w:r w:rsidR="00CE56B3">
        <w:rPr>
          <w:rFonts w:ascii="Arial" w:hAnsi="Arial" w:cs="Arial"/>
          <w:color w:val="000000" w:themeColor="text1"/>
          <w:szCs w:val="24"/>
        </w:rPr>
        <w:t xml:space="preserve"> L. </w:t>
      </w:r>
      <w:r w:rsidRPr="000154DF">
        <w:rPr>
          <w:rFonts w:ascii="Arial" w:hAnsi="Arial" w:cs="Arial"/>
          <w:color w:val="000000" w:themeColor="text1"/>
          <w:szCs w:val="24"/>
        </w:rPr>
        <w:t xml:space="preserve">Ratliff </w:t>
      </w:r>
      <w:r w:rsidRPr="000154DF">
        <w:rPr>
          <w:rFonts w:ascii="Arial" w:hAnsi="Arial" w:cs="Arial"/>
          <w:color w:val="000000" w:themeColor="text1"/>
          <w:szCs w:val="24"/>
          <w:vertAlign w:val="superscript"/>
        </w:rPr>
        <w:t>2,3</w:t>
      </w:r>
      <w:r w:rsidRPr="000154DF">
        <w:rPr>
          <w:rFonts w:ascii="Arial" w:hAnsi="Arial" w:cs="Arial"/>
          <w:color w:val="000000" w:themeColor="text1"/>
          <w:szCs w:val="24"/>
        </w:rPr>
        <w:t>, Michael Wendt</w:t>
      </w:r>
      <w:r w:rsidRPr="000154DF">
        <w:rPr>
          <w:rFonts w:ascii="Arial" w:hAnsi="Arial" w:cs="Arial"/>
          <w:color w:val="000000" w:themeColor="text1"/>
          <w:szCs w:val="24"/>
          <w:vertAlign w:val="superscript"/>
        </w:rPr>
        <w:t>1,3</w:t>
      </w:r>
    </w:p>
    <w:p w14:paraId="273FDA97" w14:textId="77777777" w:rsidR="009F4186" w:rsidRPr="000154DF" w:rsidRDefault="009F4186" w:rsidP="009F4186">
      <w:pPr>
        <w:jc w:val="both"/>
        <w:rPr>
          <w:rFonts w:ascii="Arial" w:hAnsi="Arial" w:cs="Arial"/>
          <w:color w:val="000000" w:themeColor="text1"/>
          <w:szCs w:val="24"/>
          <w:vertAlign w:val="superscript"/>
        </w:rPr>
      </w:pPr>
    </w:p>
    <w:p w14:paraId="42EBE6A6" w14:textId="77777777" w:rsidR="009F4186" w:rsidRPr="009F4186" w:rsidRDefault="009F4186" w:rsidP="009F4186">
      <w:pPr>
        <w:jc w:val="center"/>
        <w:rPr>
          <w:rFonts w:ascii="Arial" w:hAnsi="Arial" w:cs="Arial"/>
          <w:b/>
          <w:bCs/>
          <w:color w:val="000000" w:themeColor="text1"/>
          <w:szCs w:val="24"/>
        </w:rPr>
      </w:pPr>
    </w:p>
    <w:p w14:paraId="744E6F4C" w14:textId="24060608" w:rsidR="009F4186" w:rsidRDefault="009F4186">
      <w:pPr>
        <w:rPr>
          <w:rFonts w:ascii="Arial" w:hAnsi="Arial" w:cs="Arial"/>
          <w:b/>
          <w:bCs/>
          <w:color w:val="000000" w:themeColor="text1"/>
          <w:szCs w:val="24"/>
        </w:rPr>
      </w:pPr>
      <w:r>
        <w:rPr>
          <w:rFonts w:ascii="Arial" w:hAnsi="Arial" w:cs="Arial"/>
          <w:b/>
          <w:bCs/>
          <w:color w:val="000000" w:themeColor="text1"/>
          <w:szCs w:val="24"/>
        </w:rPr>
        <w:br w:type="page"/>
      </w:r>
    </w:p>
    <w:p w14:paraId="162228B1" w14:textId="77777777" w:rsidR="002C0D84" w:rsidRPr="009F4186" w:rsidRDefault="002C0D84" w:rsidP="002C0D84">
      <w:pPr>
        <w:jc w:val="both"/>
        <w:rPr>
          <w:rFonts w:ascii="Arial" w:hAnsi="Arial" w:cs="Arial"/>
          <w:b/>
          <w:bCs/>
          <w:color w:val="000000" w:themeColor="text1"/>
          <w:szCs w:val="24"/>
        </w:rPr>
      </w:pPr>
    </w:p>
    <w:p w14:paraId="0010B9AA" w14:textId="0DA5E1FC" w:rsidR="002C0D84" w:rsidRDefault="002C0D84" w:rsidP="002C0D84">
      <w:pPr>
        <w:jc w:val="both"/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t>Supplemental Figure 1:</w:t>
      </w:r>
    </w:p>
    <w:p w14:paraId="2FDB3406" w14:textId="77777777" w:rsidR="00962B6D" w:rsidRDefault="00962B6D" w:rsidP="002C0D84">
      <w:pPr>
        <w:jc w:val="both"/>
        <w:rPr>
          <w:rFonts w:ascii="Arial" w:hAnsi="Arial" w:cs="Arial"/>
          <w:b/>
          <w:bCs/>
          <w:color w:val="000000" w:themeColor="text1"/>
          <w:szCs w:val="24"/>
        </w:rPr>
      </w:pPr>
    </w:p>
    <w:p w14:paraId="2CD2D396" w14:textId="77777777" w:rsidR="00962B6D" w:rsidRDefault="00962B6D">
      <w:pPr>
        <w:rPr>
          <w:rFonts w:ascii="Arial" w:hAnsi="Arial" w:cs="Arial"/>
          <w:b/>
          <w:bCs/>
          <w:color w:val="000000" w:themeColor="text1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Cs w:val="24"/>
        </w:rPr>
        <w:drawing>
          <wp:inline distT="0" distB="0" distL="0" distR="0" wp14:anchorId="6080A5F0" wp14:editId="14FB7435">
            <wp:extent cx="6477000" cy="431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1 4T07 signaling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3198" w14:textId="77777777" w:rsidR="00962B6D" w:rsidRDefault="00962B6D">
      <w:pPr>
        <w:rPr>
          <w:rFonts w:ascii="Arial" w:hAnsi="Arial" w:cs="Arial"/>
          <w:b/>
          <w:bCs/>
          <w:color w:val="000000" w:themeColor="text1"/>
          <w:szCs w:val="24"/>
        </w:rPr>
      </w:pPr>
    </w:p>
    <w:p w14:paraId="419DFCFB" w14:textId="397B7AB6" w:rsidR="00962B6D" w:rsidRDefault="00962B6D">
      <w:pPr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t>Fig. S</w:t>
      </w:r>
      <w:r w:rsidR="00152381">
        <w:rPr>
          <w:rFonts w:ascii="Arial" w:hAnsi="Arial" w:cs="Arial"/>
          <w:b/>
          <w:bCs/>
          <w:color w:val="000000" w:themeColor="text1"/>
          <w:szCs w:val="24"/>
        </w:rPr>
        <w:t>1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Cs w:val="24"/>
        </w:rPr>
        <w:t>4T07 cell growth is dependent on FGFR signaling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. (A)</w:t>
      </w:r>
      <w:r w:rsidR="00152381">
        <w:rPr>
          <w:rFonts w:ascii="Arial" w:hAnsi="Arial" w:cs="Arial"/>
          <w:b/>
          <w:bCs/>
          <w:color w:val="000000" w:themeColor="text1"/>
          <w:szCs w:val="24"/>
        </w:rPr>
        <w:t xml:space="preserve"> </w:t>
      </w:r>
      <w:r w:rsidRPr="009F4186">
        <w:rPr>
          <w:rFonts w:ascii="Arial" w:hAnsi="Arial" w:cs="Arial"/>
          <w:color w:val="000000" w:themeColor="text1"/>
          <w:szCs w:val="24"/>
        </w:rPr>
        <w:t xml:space="preserve">The 4T07 cells </w:t>
      </w:r>
      <w:r w:rsidR="009A1DF5">
        <w:rPr>
          <w:rFonts w:ascii="Arial" w:hAnsi="Arial" w:cs="Arial"/>
          <w:color w:val="000000" w:themeColor="text1"/>
          <w:szCs w:val="24"/>
        </w:rPr>
        <w:t>(1x10</w:t>
      </w:r>
      <w:r w:rsidR="009A1DF5" w:rsidRPr="00554AAD">
        <w:rPr>
          <w:rFonts w:ascii="Arial" w:hAnsi="Arial" w:cs="Arial"/>
          <w:color w:val="000000" w:themeColor="text1"/>
          <w:szCs w:val="24"/>
          <w:vertAlign w:val="superscript"/>
        </w:rPr>
        <w:t>4</w:t>
      </w:r>
      <w:r w:rsidR="009A1DF5">
        <w:rPr>
          <w:rFonts w:ascii="Arial" w:hAnsi="Arial" w:cs="Arial"/>
          <w:color w:val="000000" w:themeColor="text1"/>
          <w:szCs w:val="24"/>
        </w:rPr>
        <w:t xml:space="preserve">) </w:t>
      </w:r>
      <w:r>
        <w:rPr>
          <w:rFonts w:ascii="Arial" w:hAnsi="Arial" w:cs="Arial"/>
          <w:color w:val="000000" w:themeColor="text1"/>
          <w:szCs w:val="24"/>
        </w:rPr>
        <w:t>were serum starved overnight and then stimulated with FGF2 (20</w:t>
      </w:r>
      <w:r w:rsidR="00152381">
        <w:rPr>
          <w:rFonts w:ascii="Arial" w:hAnsi="Arial" w:cs="Arial"/>
          <w:color w:val="000000" w:themeColor="text1"/>
          <w:szCs w:val="24"/>
        </w:rPr>
        <w:t xml:space="preserve"> </w:t>
      </w:r>
      <w:r>
        <w:rPr>
          <w:rFonts w:ascii="Arial" w:hAnsi="Arial" w:cs="Arial"/>
          <w:color w:val="000000" w:themeColor="text1"/>
          <w:szCs w:val="24"/>
        </w:rPr>
        <w:t xml:space="preserve">ng/ml) for the indicated amounts of time. Cells were lysed and analyzed by immunoblot for differential phosphorylation of ERK1/2 (pErk1/2) and </w:t>
      </w:r>
      <w:proofErr w:type="spellStart"/>
      <w:r>
        <w:rPr>
          <w:rFonts w:ascii="Arial" w:hAnsi="Arial" w:cs="Arial"/>
          <w:color w:val="000000" w:themeColor="text1"/>
          <w:szCs w:val="24"/>
        </w:rPr>
        <w:t>Akt</w:t>
      </w:r>
      <w:proofErr w:type="spellEnd"/>
      <w:r>
        <w:rPr>
          <w:rFonts w:ascii="Arial" w:hAnsi="Arial" w:cs="Arial"/>
          <w:color w:val="000000" w:themeColor="text1"/>
          <w:szCs w:val="24"/>
        </w:rPr>
        <w:t xml:space="preserve"> (</w:t>
      </w:r>
      <w:proofErr w:type="spellStart"/>
      <w:r>
        <w:rPr>
          <w:rFonts w:ascii="Arial" w:hAnsi="Arial" w:cs="Arial"/>
          <w:color w:val="000000" w:themeColor="text1"/>
          <w:szCs w:val="24"/>
        </w:rPr>
        <w:t>pAkt</w:t>
      </w:r>
      <w:proofErr w:type="spellEnd"/>
      <w:r>
        <w:rPr>
          <w:rFonts w:ascii="Arial" w:hAnsi="Arial" w:cs="Arial"/>
          <w:color w:val="000000" w:themeColor="text1"/>
          <w:szCs w:val="24"/>
        </w:rPr>
        <w:t>). Total ERK1/2 served as a loading control.</w:t>
      </w:r>
      <w:r w:rsidR="00152381">
        <w:rPr>
          <w:rFonts w:ascii="Arial" w:hAnsi="Arial" w:cs="Arial"/>
          <w:color w:val="000000" w:themeColor="text1"/>
          <w:szCs w:val="24"/>
        </w:rPr>
        <w:t xml:space="preserve"> Data are representative for 2 independent experiments.</w:t>
      </w:r>
      <w:r>
        <w:rPr>
          <w:rFonts w:ascii="Arial" w:hAnsi="Arial" w:cs="Arial"/>
          <w:color w:val="000000" w:themeColor="text1"/>
          <w:szCs w:val="24"/>
        </w:rPr>
        <w:t xml:space="preserve">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(B)</w:t>
      </w:r>
      <w:r w:rsidRPr="009F4186">
        <w:rPr>
          <w:rFonts w:ascii="Arial" w:hAnsi="Arial" w:cs="Arial"/>
          <w:color w:val="000000" w:themeColor="text1"/>
          <w:szCs w:val="24"/>
        </w:rPr>
        <w:t xml:space="preserve"> </w:t>
      </w:r>
      <w:r>
        <w:rPr>
          <w:rFonts w:ascii="Arial" w:hAnsi="Arial" w:cs="Arial"/>
          <w:color w:val="000000" w:themeColor="text1"/>
          <w:szCs w:val="24"/>
        </w:rPr>
        <w:t>4T07 cells (1x10</w:t>
      </w:r>
      <w:r w:rsidRPr="00962B6D">
        <w:rPr>
          <w:rFonts w:ascii="Arial" w:hAnsi="Arial" w:cs="Arial"/>
          <w:color w:val="000000" w:themeColor="text1"/>
          <w:szCs w:val="24"/>
          <w:vertAlign w:val="superscript"/>
        </w:rPr>
        <w:t>4</w:t>
      </w:r>
      <w:r>
        <w:rPr>
          <w:rFonts w:ascii="Arial" w:hAnsi="Arial" w:cs="Arial"/>
          <w:color w:val="000000" w:themeColor="text1"/>
          <w:szCs w:val="24"/>
        </w:rPr>
        <w:t>/well) were plated into a non-adherent 96</w:t>
      </w:r>
      <w:r w:rsidR="00554AAD">
        <w:rPr>
          <w:rFonts w:ascii="Arial" w:hAnsi="Arial" w:cs="Arial"/>
          <w:color w:val="000000" w:themeColor="text1"/>
          <w:szCs w:val="24"/>
        </w:rPr>
        <w:t>-</w:t>
      </w:r>
      <w:r>
        <w:rPr>
          <w:rFonts w:ascii="Arial" w:hAnsi="Arial" w:cs="Arial"/>
          <w:color w:val="000000" w:themeColor="text1"/>
          <w:szCs w:val="24"/>
        </w:rPr>
        <w:t xml:space="preserve">well spheroid plate for 2 days. The resulting spheroids were then transferred to a bed of extracellular matrix (Day </w:t>
      </w:r>
      <w:r w:rsidR="00152381">
        <w:rPr>
          <w:rFonts w:ascii="Arial" w:hAnsi="Arial" w:cs="Arial"/>
          <w:color w:val="000000" w:themeColor="text1"/>
          <w:szCs w:val="24"/>
        </w:rPr>
        <w:t>0</w:t>
      </w:r>
      <w:r>
        <w:rPr>
          <w:rFonts w:ascii="Arial" w:hAnsi="Arial" w:cs="Arial"/>
          <w:color w:val="000000" w:themeColor="text1"/>
          <w:szCs w:val="24"/>
        </w:rPr>
        <w:t>) in the presence or absence of FGFR inhibitors. Shown are representative spheroids grown with no drug or the indicated concentration of FIIN4.</w:t>
      </w:r>
      <w:r w:rsidRPr="009F4186">
        <w:rPr>
          <w:rFonts w:ascii="Arial" w:hAnsi="Arial" w:cs="Arial"/>
          <w:color w:val="000000" w:themeColor="text1"/>
          <w:szCs w:val="24"/>
        </w:rPr>
        <w:t xml:space="preserve">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(C)</w:t>
      </w:r>
      <w:r w:rsidRPr="009F4186">
        <w:rPr>
          <w:rFonts w:ascii="Arial" w:hAnsi="Arial" w:cs="Arial"/>
          <w:color w:val="000000" w:themeColor="text1"/>
          <w:szCs w:val="24"/>
        </w:rPr>
        <w:t xml:space="preserve"> The mean (±SD) of bioluminescent values from </w:t>
      </w:r>
      <w:r>
        <w:rPr>
          <w:rFonts w:ascii="Arial" w:hAnsi="Arial" w:cs="Arial"/>
          <w:color w:val="000000" w:themeColor="text1"/>
          <w:szCs w:val="24"/>
        </w:rPr>
        <w:t xml:space="preserve">the spheroid assays described in panel B using 100 </w:t>
      </w:r>
      <w:proofErr w:type="spellStart"/>
      <w:r>
        <w:rPr>
          <w:rFonts w:ascii="Arial" w:hAnsi="Arial" w:cs="Arial"/>
          <w:color w:val="000000" w:themeColor="text1"/>
          <w:szCs w:val="24"/>
        </w:rPr>
        <w:t>nM</w:t>
      </w:r>
      <w:proofErr w:type="spellEnd"/>
      <w:r>
        <w:rPr>
          <w:rFonts w:ascii="Arial" w:hAnsi="Arial" w:cs="Arial"/>
          <w:color w:val="000000" w:themeColor="text1"/>
          <w:szCs w:val="24"/>
        </w:rPr>
        <w:t xml:space="preserve"> of the indicated FGFR inhibitors, AZD4547 (AZD), </w:t>
      </w:r>
      <w:proofErr w:type="spellStart"/>
      <w:r>
        <w:rPr>
          <w:rFonts w:ascii="Arial" w:hAnsi="Arial" w:cs="Arial"/>
          <w:color w:val="000000" w:themeColor="text1"/>
          <w:szCs w:val="24"/>
        </w:rPr>
        <w:t>inf</w:t>
      </w:r>
      <w:r w:rsidR="00152381">
        <w:rPr>
          <w:rFonts w:ascii="Arial" w:hAnsi="Arial" w:cs="Arial"/>
          <w:color w:val="000000" w:themeColor="text1"/>
          <w:szCs w:val="24"/>
        </w:rPr>
        <w:t>igratinib</w:t>
      </w:r>
      <w:proofErr w:type="spellEnd"/>
      <w:r w:rsidR="00152381">
        <w:rPr>
          <w:rFonts w:ascii="Arial" w:hAnsi="Arial" w:cs="Arial"/>
          <w:color w:val="000000" w:themeColor="text1"/>
          <w:szCs w:val="24"/>
        </w:rPr>
        <w:t xml:space="preserve"> (BGJ), or FIIN4</w:t>
      </w:r>
      <w:r w:rsidR="0020014D">
        <w:rPr>
          <w:rFonts w:ascii="Arial" w:hAnsi="Arial" w:cs="Arial"/>
          <w:color w:val="000000" w:themeColor="text1"/>
          <w:szCs w:val="24"/>
        </w:rPr>
        <w:t>. The data were compared via a student’s T-test</w:t>
      </w:r>
      <w:r w:rsidRPr="009F4186">
        <w:rPr>
          <w:rFonts w:ascii="Arial" w:hAnsi="Arial" w:cs="Arial"/>
          <w:color w:val="000000" w:themeColor="text1"/>
          <w:szCs w:val="24"/>
        </w:rPr>
        <w:t xml:space="preserve"> resulting in the indicated P</w:t>
      </w:r>
      <w:r w:rsidRPr="009F4186">
        <w:rPr>
          <w:rFonts w:ascii="Arial" w:hAnsi="Arial" w:cs="Arial"/>
          <w:i/>
          <w:iCs/>
          <w:color w:val="000000" w:themeColor="text1"/>
          <w:szCs w:val="24"/>
        </w:rPr>
        <w:t xml:space="preserve"> </w:t>
      </w:r>
      <w:r w:rsidRPr="009F4186">
        <w:rPr>
          <w:rFonts w:ascii="Arial" w:hAnsi="Arial" w:cs="Arial"/>
          <w:color w:val="000000" w:themeColor="text1"/>
          <w:szCs w:val="24"/>
        </w:rPr>
        <w:t>value</w:t>
      </w:r>
      <w:r w:rsidR="00152381">
        <w:rPr>
          <w:rFonts w:ascii="Arial" w:hAnsi="Arial" w:cs="Arial"/>
          <w:color w:val="000000" w:themeColor="text1"/>
          <w:szCs w:val="24"/>
        </w:rPr>
        <w:t>s</w:t>
      </w:r>
      <w:r w:rsidRPr="009F4186">
        <w:rPr>
          <w:rFonts w:ascii="Arial" w:hAnsi="Arial" w:cs="Arial"/>
          <w:color w:val="000000" w:themeColor="text1"/>
          <w:szCs w:val="24"/>
        </w:rPr>
        <w:t>, comparing FGFR inhibitor groups to</w:t>
      </w:r>
      <w:r w:rsidR="00152381">
        <w:rPr>
          <w:rFonts w:ascii="Arial" w:hAnsi="Arial" w:cs="Arial"/>
          <w:color w:val="000000" w:themeColor="text1"/>
          <w:szCs w:val="24"/>
        </w:rPr>
        <w:t xml:space="preserve"> the no drug</w:t>
      </w:r>
      <w:r w:rsidRPr="009F4186">
        <w:rPr>
          <w:rFonts w:ascii="Arial" w:hAnsi="Arial" w:cs="Arial"/>
          <w:color w:val="000000" w:themeColor="text1"/>
          <w:szCs w:val="24"/>
        </w:rPr>
        <w:t xml:space="preserve"> control</w:t>
      </w:r>
      <w:r w:rsidR="00152381">
        <w:rPr>
          <w:rFonts w:ascii="Arial" w:hAnsi="Arial" w:cs="Arial"/>
          <w:color w:val="000000" w:themeColor="text1"/>
          <w:szCs w:val="24"/>
        </w:rPr>
        <w:t xml:space="preserve"> (ND) six days after a single drug treatment</w:t>
      </w:r>
      <w:r w:rsidRPr="009F4186">
        <w:rPr>
          <w:rFonts w:ascii="Arial" w:hAnsi="Arial" w:cs="Arial"/>
          <w:color w:val="000000" w:themeColor="text1"/>
          <w:szCs w:val="24"/>
        </w:rPr>
        <w:t>.</w:t>
      </w:r>
    </w:p>
    <w:p w14:paraId="37981B9F" w14:textId="07938690" w:rsidR="00962B6D" w:rsidRDefault="00962B6D">
      <w:pPr>
        <w:rPr>
          <w:rFonts w:ascii="Arial" w:hAnsi="Arial" w:cs="Arial"/>
          <w:b/>
          <w:bCs/>
          <w:color w:val="000000" w:themeColor="text1"/>
          <w:szCs w:val="24"/>
        </w:rPr>
      </w:pPr>
      <w:r>
        <w:rPr>
          <w:rFonts w:ascii="Arial" w:hAnsi="Arial" w:cs="Arial"/>
          <w:b/>
          <w:bCs/>
          <w:color w:val="000000" w:themeColor="text1"/>
          <w:szCs w:val="24"/>
        </w:rPr>
        <w:br w:type="page"/>
      </w:r>
    </w:p>
    <w:p w14:paraId="5AC98242" w14:textId="60993CF9" w:rsidR="00962B6D" w:rsidRDefault="00962B6D" w:rsidP="00962B6D">
      <w:pPr>
        <w:jc w:val="both"/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lastRenderedPageBreak/>
        <w:t xml:space="preserve">Supplemental Figure </w:t>
      </w:r>
      <w:r>
        <w:rPr>
          <w:rFonts w:ascii="Arial" w:hAnsi="Arial" w:cs="Arial"/>
          <w:b/>
          <w:bCs/>
          <w:color w:val="000000" w:themeColor="text1"/>
          <w:szCs w:val="24"/>
        </w:rPr>
        <w:t>2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:</w:t>
      </w:r>
    </w:p>
    <w:p w14:paraId="1CAF5666" w14:textId="77777777" w:rsidR="002C0D84" w:rsidRPr="009F4186" w:rsidRDefault="002C0D84" w:rsidP="002C0D84">
      <w:pPr>
        <w:jc w:val="both"/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noProof/>
          <w:color w:val="000000" w:themeColor="text1"/>
          <w:szCs w:val="24"/>
        </w:rPr>
        <w:drawing>
          <wp:inline distT="0" distB="0" distL="0" distR="0" wp14:anchorId="44A890F4" wp14:editId="11CDAECB">
            <wp:extent cx="4937760" cy="4937760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 S1 inhibitors-comparison-b.ps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23DE8" w14:textId="56152EC4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t>Fig. S</w:t>
      </w:r>
      <w:r w:rsidR="00962B6D">
        <w:rPr>
          <w:rFonts w:ascii="Arial" w:hAnsi="Arial" w:cs="Arial"/>
          <w:b/>
          <w:bCs/>
          <w:color w:val="000000" w:themeColor="text1"/>
          <w:szCs w:val="24"/>
        </w:rPr>
        <w:t>2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. FGFR inhibitors inhibit pulmonary tumor growth. (A)</w:t>
      </w:r>
      <w:r w:rsidR="00DB4762">
        <w:rPr>
          <w:rFonts w:ascii="Arial" w:hAnsi="Arial" w:cs="Arial"/>
          <w:color w:val="000000" w:themeColor="text1"/>
          <w:szCs w:val="24"/>
        </w:rPr>
        <w:t xml:space="preserve"> </w:t>
      </w:r>
      <w:r w:rsidRPr="009F4186">
        <w:rPr>
          <w:rFonts w:ascii="Arial" w:hAnsi="Arial" w:cs="Arial"/>
          <w:color w:val="000000" w:themeColor="text1"/>
          <w:szCs w:val="24"/>
        </w:rPr>
        <w:t>4T07 cells (5x10</w:t>
      </w:r>
      <w:r w:rsidRPr="009F4186">
        <w:rPr>
          <w:rFonts w:ascii="Arial" w:hAnsi="Arial" w:cs="Arial"/>
          <w:color w:val="000000" w:themeColor="text1"/>
          <w:szCs w:val="24"/>
          <w:vertAlign w:val="superscript"/>
        </w:rPr>
        <w:t>5</w:t>
      </w:r>
      <w:r w:rsidRPr="009F4186">
        <w:rPr>
          <w:rFonts w:ascii="Arial" w:hAnsi="Arial" w:cs="Arial"/>
          <w:color w:val="000000" w:themeColor="text1"/>
          <w:szCs w:val="24"/>
        </w:rPr>
        <w:t xml:space="preserve">) were delivered to the lungs of </w:t>
      </w:r>
      <w:r w:rsidRPr="009F4186">
        <w:rPr>
          <w:rFonts w:ascii="Arial" w:hAnsi="Arial" w:cs="Arial"/>
          <w:color w:val="000000" w:themeColor="text1"/>
          <w:szCs w:val="24"/>
        </w:rPr>
        <w:t>BALB/c mice (n=5 mice per group) via tail vein injections. Mice were treated with either vehicle (DMSO) or</w:t>
      </w:r>
      <w:r w:rsidR="00D91877">
        <w:rPr>
          <w:rFonts w:ascii="Arial" w:hAnsi="Arial" w:cs="Arial"/>
          <w:color w:val="000000" w:themeColor="text1"/>
          <w:szCs w:val="24"/>
        </w:rPr>
        <w:t xml:space="preserve"> the</w:t>
      </w:r>
      <w:r w:rsidRPr="009F4186">
        <w:rPr>
          <w:rFonts w:ascii="Arial" w:hAnsi="Arial" w:cs="Arial"/>
          <w:color w:val="000000" w:themeColor="text1"/>
          <w:szCs w:val="24"/>
        </w:rPr>
        <w:t xml:space="preserve"> indicated FGFR inhibitor, AZD4547 (AZD), </w:t>
      </w:r>
      <w:proofErr w:type="spellStart"/>
      <w:r w:rsidRPr="009F4186">
        <w:rPr>
          <w:rFonts w:ascii="Arial" w:hAnsi="Arial" w:cs="Arial"/>
          <w:color w:val="000000" w:themeColor="text1"/>
          <w:szCs w:val="24"/>
        </w:rPr>
        <w:t>erdafitinib</w:t>
      </w:r>
      <w:proofErr w:type="spellEnd"/>
      <w:r w:rsidRPr="009F4186">
        <w:rPr>
          <w:rFonts w:ascii="Arial" w:hAnsi="Arial" w:cs="Arial"/>
          <w:color w:val="000000" w:themeColor="text1"/>
          <w:szCs w:val="24"/>
        </w:rPr>
        <w:t xml:space="preserve"> (JNJ), </w:t>
      </w:r>
      <w:r w:rsidR="00D91877">
        <w:rPr>
          <w:rFonts w:ascii="Arial" w:hAnsi="Arial" w:cs="Arial"/>
          <w:color w:val="000000" w:themeColor="text1"/>
          <w:szCs w:val="24"/>
        </w:rPr>
        <w:t>or</w:t>
      </w:r>
      <w:r w:rsidR="00D91877" w:rsidRPr="009F4186">
        <w:rPr>
          <w:rFonts w:ascii="Arial" w:hAnsi="Arial" w:cs="Arial"/>
          <w:color w:val="000000" w:themeColor="text1"/>
          <w:szCs w:val="24"/>
        </w:rPr>
        <w:t xml:space="preserve"> </w:t>
      </w:r>
      <w:r w:rsidRPr="009F4186">
        <w:rPr>
          <w:rFonts w:ascii="Arial" w:hAnsi="Arial" w:cs="Arial"/>
          <w:color w:val="000000" w:themeColor="text1"/>
          <w:szCs w:val="24"/>
        </w:rPr>
        <w:t>FIIN4</w:t>
      </w:r>
      <w:r w:rsidR="00D91877">
        <w:rPr>
          <w:rFonts w:ascii="Arial" w:hAnsi="Arial" w:cs="Arial"/>
          <w:color w:val="000000" w:themeColor="text1"/>
          <w:szCs w:val="24"/>
        </w:rPr>
        <w:t>,</w:t>
      </w:r>
      <w:r w:rsidRPr="009F4186">
        <w:rPr>
          <w:rFonts w:ascii="Arial" w:hAnsi="Arial" w:cs="Arial"/>
          <w:color w:val="000000" w:themeColor="text1"/>
          <w:szCs w:val="24"/>
        </w:rPr>
        <w:t xml:space="preserve"> at 100 mg/kg; po, </w:t>
      </w:r>
      <w:proofErr w:type="spellStart"/>
      <w:r w:rsidRPr="009F4186">
        <w:rPr>
          <w:rFonts w:ascii="Arial" w:hAnsi="Arial" w:cs="Arial"/>
          <w:color w:val="000000" w:themeColor="text1"/>
          <w:szCs w:val="24"/>
        </w:rPr>
        <w:t>qd</w:t>
      </w:r>
      <w:proofErr w:type="spellEnd"/>
      <w:r w:rsidRPr="009F4186">
        <w:rPr>
          <w:rFonts w:ascii="Arial" w:hAnsi="Arial" w:cs="Arial"/>
          <w:color w:val="000000" w:themeColor="text1"/>
          <w:szCs w:val="24"/>
        </w:rPr>
        <w:t xml:space="preserve"> starting 2 days after tumor cell engraftment. Shown are fixed right pulmonary lobes of three representative mice from each group, 17 days after tumor cell engraftment.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(B)</w:t>
      </w:r>
      <w:r w:rsidRPr="009F4186">
        <w:rPr>
          <w:rFonts w:ascii="Arial" w:hAnsi="Arial" w:cs="Arial"/>
          <w:color w:val="000000" w:themeColor="text1"/>
          <w:szCs w:val="24"/>
        </w:rPr>
        <w:t xml:space="preserve"> Bioluminescent images of mice at 17 days post engraftment.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(C)</w:t>
      </w:r>
      <w:r w:rsidRPr="009F4186">
        <w:rPr>
          <w:rFonts w:ascii="Arial" w:hAnsi="Arial" w:cs="Arial"/>
          <w:color w:val="000000" w:themeColor="text1"/>
          <w:szCs w:val="24"/>
        </w:rPr>
        <w:t xml:space="preserve"> The mean (±SD) of bioluminescent values from each group taken at the indicated time points</w:t>
      </w:r>
      <w:r w:rsidR="000816B9">
        <w:rPr>
          <w:rFonts w:ascii="Arial" w:hAnsi="Arial" w:cs="Arial"/>
          <w:color w:val="000000" w:themeColor="text1"/>
          <w:szCs w:val="24"/>
        </w:rPr>
        <w:t>;</w:t>
      </w:r>
      <w:r w:rsidRPr="009F4186">
        <w:rPr>
          <w:rFonts w:ascii="Arial" w:hAnsi="Arial" w:cs="Arial"/>
          <w:color w:val="000000" w:themeColor="text1"/>
          <w:szCs w:val="24"/>
        </w:rPr>
        <w:t xml:space="preserve"> </w:t>
      </w:r>
      <w:r w:rsidR="000816B9">
        <w:rPr>
          <w:rFonts w:ascii="Arial" w:hAnsi="Arial" w:cs="Arial"/>
          <w:color w:val="000000" w:themeColor="text1"/>
          <w:szCs w:val="24"/>
        </w:rPr>
        <w:t xml:space="preserve">two-way ANOVA test was performed </w:t>
      </w:r>
      <w:r w:rsidRPr="009F4186">
        <w:rPr>
          <w:rFonts w:ascii="Arial" w:hAnsi="Arial" w:cs="Arial"/>
          <w:color w:val="000000" w:themeColor="text1"/>
          <w:szCs w:val="24"/>
        </w:rPr>
        <w:t>resulting in the indicated P</w:t>
      </w:r>
      <w:r w:rsidRPr="009F4186">
        <w:rPr>
          <w:rFonts w:ascii="Arial" w:hAnsi="Arial" w:cs="Arial"/>
          <w:i/>
          <w:iCs/>
          <w:color w:val="000000" w:themeColor="text1"/>
          <w:szCs w:val="24"/>
        </w:rPr>
        <w:t xml:space="preserve"> </w:t>
      </w:r>
      <w:r w:rsidRPr="009F4186">
        <w:rPr>
          <w:rFonts w:ascii="Arial" w:hAnsi="Arial" w:cs="Arial"/>
          <w:color w:val="000000" w:themeColor="text1"/>
          <w:szCs w:val="24"/>
        </w:rPr>
        <w:t xml:space="preserve">value, comparing FGFR inhibitor groups to control.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(D)</w:t>
      </w:r>
      <w:r w:rsidRPr="009F4186">
        <w:rPr>
          <w:rFonts w:ascii="Arial" w:hAnsi="Arial" w:cs="Arial"/>
          <w:color w:val="000000" w:themeColor="text1"/>
          <w:szCs w:val="24"/>
        </w:rPr>
        <w:t xml:space="preserve"> The average weights (mean) of the individual groups were </w:t>
      </w:r>
      <w:r w:rsidRPr="009F4186">
        <w:rPr>
          <w:rFonts w:ascii="Arial" w:hAnsi="Arial" w:cs="Arial"/>
          <w:color w:val="000000" w:themeColor="text1"/>
          <w:szCs w:val="24"/>
        </w:rPr>
        <w:t xml:space="preserve">measured at the indicated time points. </w:t>
      </w:r>
    </w:p>
    <w:p w14:paraId="117AE503" w14:textId="77777777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br w:type="page"/>
      </w:r>
    </w:p>
    <w:p w14:paraId="32B05731" w14:textId="492A0D57" w:rsidR="002C0D84" w:rsidRPr="009F4186" w:rsidRDefault="002C0D84" w:rsidP="002C0D84">
      <w:pPr>
        <w:jc w:val="both"/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lastRenderedPageBreak/>
        <w:t xml:space="preserve">Supplemental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Figure </w:t>
      </w:r>
      <w:r w:rsidR="00C5655C">
        <w:rPr>
          <w:rFonts w:ascii="Arial" w:hAnsi="Arial" w:cs="Arial"/>
          <w:b/>
          <w:bCs/>
          <w:color w:val="000000" w:themeColor="text1"/>
          <w:szCs w:val="24"/>
        </w:rPr>
        <w:t>3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:</w:t>
      </w:r>
    </w:p>
    <w:p w14:paraId="320DC7FF" w14:textId="77777777" w:rsidR="002C0D84" w:rsidRPr="009F4186" w:rsidRDefault="002C0D84" w:rsidP="002C0D84">
      <w:pPr>
        <w:jc w:val="both"/>
        <w:rPr>
          <w:rFonts w:ascii="Arial" w:hAnsi="Arial" w:cs="Arial"/>
          <w:b/>
          <w:bCs/>
          <w:color w:val="000000" w:themeColor="text1"/>
          <w:szCs w:val="24"/>
        </w:rPr>
      </w:pPr>
    </w:p>
    <w:p w14:paraId="55BE4944" w14:textId="77777777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noProof/>
          <w:color w:val="000000" w:themeColor="text1"/>
          <w:szCs w:val="24"/>
        </w:rPr>
        <w:drawing>
          <wp:inline distT="0" distB="0" distL="0" distR="0" wp14:anchorId="5DC2185F" wp14:editId="7A2DCC8D">
            <wp:extent cx="5268397" cy="5268397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1. 4T1-metastasis-FIIN4.tif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38" cy="52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A86C" w14:textId="77777777" w:rsidR="002C0D84" w:rsidRPr="009F4186" w:rsidRDefault="002C0D84" w:rsidP="002C0D84">
      <w:pPr>
        <w:spacing w:line="480" w:lineRule="auto"/>
        <w:rPr>
          <w:rFonts w:ascii="Arial" w:hAnsi="Arial" w:cs="Arial"/>
          <w:b/>
          <w:bCs/>
          <w:color w:val="000000" w:themeColor="text1"/>
          <w:szCs w:val="24"/>
        </w:rPr>
      </w:pPr>
    </w:p>
    <w:p w14:paraId="2702EE3C" w14:textId="62221941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Fig. </w:t>
      </w:r>
      <w:r w:rsidR="00C5655C" w:rsidRPr="009F4186">
        <w:rPr>
          <w:rFonts w:ascii="Arial" w:hAnsi="Arial" w:cs="Arial"/>
          <w:b/>
          <w:bCs/>
          <w:color w:val="000000" w:themeColor="text1"/>
          <w:szCs w:val="24"/>
        </w:rPr>
        <w:t>S</w:t>
      </w:r>
      <w:r w:rsidR="00C5655C">
        <w:rPr>
          <w:rFonts w:ascii="Arial" w:hAnsi="Arial" w:cs="Arial"/>
          <w:b/>
          <w:bCs/>
          <w:color w:val="000000" w:themeColor="text1"/>
          <w:szCs w:val="24"/>
        </w:rPr>
        <w:t>3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. Adjuvant FIIN4 prevents 4T1 metastasis. (A)</w:t>
      </w:r>
      <w:r w:rsidRPr="009F4186">
        <w:rPr>
          <w:rFonts w:ascii="Arial" w:hAnsi="Arial" w:cs="Arial"/>
          <w:color w:val="000000" w:themeColor="text1"/>
          <w:szCs w:val="24"/>
        </w:rPr>
        <w:t xml:space="preserve"> A schematic timeline detailing mammary fat pad engraftment of </w:t>
      </w:r>
      <w:r w:rsidRPr="009F4186">
        <w:rPr>
          <w:rFonts w:ascii="Arial" w:hAnsi="Arial" w:cs="Arial"/>
          <w:color w:val="000000" w:themeColor="text1"/>
          <w:szCs w:val="24"/>
        </w:rPr>
        <w:t>4T1 cells (5x10</w:t>
      </w:r>
      <w:r w:rsidRPr="009F4186">
        <w:rPr>
          <w:rFonts w:ascii="Arial" w:hAnsi="Arial" w:cs="Arial"/>
          <w:color w:val="000000" w:themeColor="text1"/>
          <w:szCs w:val="24"/>
          <w:vertAlign w:val="superscript"/>
        </w:rPr>
        <w:t>4</w:t>
      </w:r>
      <w:r w:rsidRPr="009F4186">
        <w:rPr>
          <w:rFonts w:ascii="Arial" w:hAnsi="Arial" w:cs="Arial"/>
          <w:color w:val="000000" w:themeColor="text1"/>
          <w:szCs w:val="24"/>
        </w:rPr>
        <w:t xml:space="preserve">) onto BALB/c mice. The primary tumors were grown for two weeks, surgically excised and mice </w:t>
      </w:r>
      <w:proofErr w:type="gramStart"/>
      <w:r w:rsidRPr="009F4186">
        <w:rPr>
          <w:rFonts w:ascii="Arial" w:hAnsi="Arial" w:cs="Arial"/>
          <w:color w:val="000000" w:themeColor="text1"/>
          <w:szCs w:val="24"/>
        </w:rPr>
        <w:t>were allowed to</w:t>
      </w:r>
      <w:proofErr w:type="gramEnd"/>
      <w:r w:rsidRPr="009F4186">
        <w:rPr>
          <w:rFonts w:ascii="Arial" w:hAnsi="Arial" w:cs="Arial"/>
          <w:color w:val="000000" w:themeColor="text1"/>
          <w:szCs w:val="24"/>
        </w:rPr>
        <w:t xml:space="preserve"> recover. Following surgical removal of primary tumors, mice were treated with </w:t>
      </w:r>
      <w:r w:rsidRPr="009F4186">
        <w:rPr>
          <w:rFonts w:ascii="Arial" w:hAnsi="Arial" w:cs="Arial"/>
          <w:color w:val="000000" w:themeColor="text1"/>
          <w:szCs w:val="24"/>
        </w:rPr>
        <w:t>either vehicle (DMSO) or FIIN4 (50 mg/kg po/</w:t>
      </w:r>
      <w:proofErr w:type="spellStart"/>
      <w:r w:rsidRPr="009F4186">
        <w:rPr>
          <w:rFonts w:ascii="Arial" w:hAnsi="Arial" w:cs="Arial"/>
          <w:color w:val="000000" w:themeColor="text1"/>
          <w:szCs w:val="24"/>
        </w:rPr>
        <w:t>qod</w:t>
      </w:r>
      <w:proofErr w:type="spellEnd"/>
      <w:r w:rsidRPr="009F4186">
        <w:rPr>
          <w:rFonts w:ascii="Arial" w:hAnsi="Arial" w:cs="Arial"/>
          <w:color w:val="000000" w:themeColor="text1"/>
          <w:szCs w:val="24"/>
        </w:rPr>
        <w:t xml:space="preserve">) via oral gavage.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(B and C)</w:t>
      </w:r>
      <w:r w:rsidRPr="009F4186">
        <w:rPr>
          <w:rFonts w:ascii="Arial" w:hAnsi="Arial" w:cs="Arial"/>
          <w:color w:val="000000" w:themeColor="text1"/>
          <w:szCs w:val="24"/>
        </w:rPr>
        <w:t xml:space="preserve"> The mean (±SD) of thoracic (B) and whole-body (C) bioluminescent values from each group taken at the indicated time points</w:t>
      </w:r>
      <w:r w:rsidR="000816B9">
        <w:rPr>
          <w:rFonts w:ascii="Arial" w:hAnsi="Arial" w:cs="Arial"/>
          <w:color w:val="000000" w:themeColor="text1"/>
          <w:szCs w:val="24"/>
        </w:rPr>
        <w:t>;</w:t>
      </w:r>
      <w:r w:rsidRPr="009F4186">
        <w:rPr>
          <w:rFonts w:ascii="Arial" w:hAnsi="Arial" w:cs="Arial"/>
          <w:color w:val="000000" w:themeColor="text1"/>
          <w:szCs w:val="24"/>
        </w:rPr>
        <w:t xml:space="preserve"> </w:t>
      </w:r>
      <w:proofErr w:type="gramStart"/>
      <w:r w:rsidR="000816B9">
        <w:rPr>
          <w:rFonts w:ascii="Arial" w:hAnsi="Arial" w:cs="Arial"/>
          <w:color w:val="000000" w:themeColor="text1"/>
          <w:szCs w:val="24"/>
        </w:rPr>
        <w:t>two way</w:t>
      </w:r>
      <w:proofErr w:type="gramEnd"/>
      <w:r w:rsidR="000816B9">
        <w:rPr>
          <w:rFonts w:ascii="Arial" w:hAnsi="Arial" w:cs="Arial"/>
          <w:color w:val="000000" w:themeColor="text1"/>
          <w:szCs w:val="24"/>
        </w:rPr>
        <w:t xml:space="preserve"> ANOVA tests were performed </w:t>
      </w:r>
      <w:r w:rsidRPr="009F4186">
        <w:rPr>
          <w:rFonts w:ascii="Arial" w:hAnsi="Arial" w:cs="Arial"/>
          <w:color w:val="000000" w:themeColor="text1"/>
          <w:szCs w:val="24"/>
        </w:rPr>
        <w:t>resulting in the indicated P</w:t>
      </w:r>
      <w:r w:rsidRPr="009F4186">
        <w:rPr>
          <w:rFonts w:ascii="Arial" w:hAnsi="Arial" w:cs="Arial"/>
          <w:i/>
          <w:iCs/>
          <w:color w:val="000000" w:themeColor="text1"/>
          <w:szCs w:val="24"/>
        </w:rPr>
        <w:t xml:space="preserve"> </w:t>
      </w:r>
      <w:r w:rsidRPr="009F4186">
        <w:rPr>
          <w:rFonts w:ascii="Arial" w:hAnsi="Arial" w:cs="Arial"/>
          <w:color w:val="000000" w:themeColor="text1"/>
          <w:szCs w:val="24"/>
        </w:rPr>
        <w:t xml:space="preserve">values.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(D)</w:t>
      </w:r>
      <w:r w:rsidRPr="009F4186">
        <w:rPr>
          <w:rFonts w:ascii="Arial" w:hAnsi="Arial" w:cs="Arial"/>
          <w:color w:val="000000" w:themeColor="text1"/>
          <w:szCs w:val="24"/>
        </w:rPr>
        <w:t xml:space="preserve"> Survival analysis of mice following the primary tumor removal (n=4 mice per group), the indicated </w:t>
      </w:r>
      <w:r w:rsidRPr="009F4186">
        <w:rPr>
          <w:rFonts w:ascii="Arial" w:hAnsi="Arial" w:cs="Arial"/>
          <w:i/>
          <w:iCs/>
          <w:color w:val="000000" w:themeColor="text1"/>
          <w:szCs w:val="24"/>
        </w:rPr>
        <w:t>P</w:t>
      </w:r>
      <w:r w:rsidRPr="009F4186">
        <w:rPr>
          <w:rFonts w:ascii="Arial" w:hAnsi="Arial" w:cs="Arial"/>
          <w:color w:val="000000" w:themeColor="text1"/>
          <w:szCs w:val="24"/>
        </w:rPr>
        <w:t xml:space="preserve">-value was calculated using a log rank test.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(E)</w:t>
      </w:r>
      <w:r w:rsidRPr="009F4186">
        <w:rPr>
          <w:rFonts w:ascii="Arial" w:hAnsi="Arial" w:cs="Arial"/>
          <w:color w:val="000000" w:themeColor="text1"/>
          <w:szCs w:val="24"/>
        </w:rPr>
        <w:t xml:space="preserve"> Bioluminescent images mice at 32 days post engraftment.</w:t>
      </w:r>
    </w:p>
    <w:p w14:paraId="367A33B7" w14:textId="77777777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  <w:r w:rsidRPr="009F4186">
        <w:rPr>
          <w:rFonts w:ascii="Arial" w:hAnsi="Arial" w:cs="Arial"/>
          <w:color w:val="000000" w:themeColor="text1"/>
          <w:szCs w:val="24"/>
        </w:rPr>
        <w:br w:type="page"/>
      </w:r>
    </w:p>
    <w:p w14:paraId="091EB246" w14:textId="512FAC01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lastRenderedPageBreak/>
        <w:t xml:space="preserve">Supplemental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Figure </w:t>
      </w:r>
      <w:r w:rsidR="00C5655C">
        <w:rPr>
          <w:rFonts w:ascii="Arial" w:hAnsi="Arial" w:cs="Arial"/>
          <w:b/>
          <w:bCs/>
          <w:color w:val="000000" w:themeColor="text1"/>
          <w:szCs w:val="24"/>
        </w:rPr>
        <w:t>4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:</w:t>
      </w:r>
    </w:p>
    <w:p w14:paraId="057BF9BB" w14:textId="77777777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 </w:t>
      </w:r>
    </w:p>
    <w:p w14:paraId="00283502" w14:textId="77777777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  <w:r w:rsidRPr="009F4186"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4A0D2778" wp14:editId="75B0164F">
            <wp:extent cx="6477000" cy="359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2-FIIN4-post mets-4T1.tif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3870" w14:textId="77777777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</w:p>
    <w:p w14:paraId="352FE8B2" w14:textId="175DB931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Fig. </w:t>
      </w:r>
      <w:r w:rsidR="00C5655C" w:rsidRPr="009F4186">
        <w:rPr>
          <w:rFonts w:ascii="Arial" w:hAnsi="Arial" w:cs="Arial"/>
          <w:b/>
          <w:bCs/>
          <w:color w:val="000000" w:themeColor="text1"/>
          <w:szCs w:val="24"/>
        </w:rPr>
        <w:t>S</w:t>
      </w:r>
      <w:r w:rsidR="00C5655C">
        <w:rPr>
          <w:rFonts w:ascii="Arial" w:hAnsi="Arial" w:cs="Arial"/>
          <w:b/>
          <w:bCs/>
          <w:color w:val="000000" w:themeColor="text1"/>
          <w:szCs w:val="24"/>
        </w:rPr>
        <w:t>4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. Adjuvant FIIN4 delays pulmonary metastatic growth. </w:t>
      </w:r>
      <w:r w:rsidRPr="009F4186">
        <w:rPr>
          <w:rFonts w:ascii="Arial" w:hAnsi="Arial" w:cs="Arial"/>
          <w:color w:val="000000" w:themeColor="text1"/>
          <w:szCs w:val="24"/>
        </w:rPr>
        <w:t>BALB/c mice (n=20 mice) were engrafted with 4T1 cells (5X10</w:t>
      </w:r>
      <w:r w:rsidRPr="009F4186">
        <w:rPr>
          <w:rFonts w:ascii="Arial" w:hAnsi="Arial" w:cs="Arial"/>
          <w:color w:val="000000" w:themeColor="text1"/>
          <w:szCs w:val="24"/>
          <w:vertAlign w:val="superscript"/>
        </w:rPr>
        <w:t>4</w:t>
      </w:r>
      <w:r w:rsidRPr="009F4186">
        <w:rPr>
          <w:rFonts w:ascii="Arial" w:hAnsi="Arial" w:cs="Arial"/>
          <w:color w:val="000000" w:themeColor="text1"/>
          <w:szCs w:val="24"/>
        </w:rPr>
        <w:t xml:space="preserve">) via the mammary fat pad. Primary tumors were grown for two weeks, surgically excised, and mice </w:t>
      </w:r>
      <w:proofErr w:type="gramStart"/>
      <w:r w:rsidRPr="009F4186">
        <w:rPr>
          <w:rFonts w:ascii="Arial" w:hAnsi="Arial" w:cs="Arial"/>
          <w:color w:val="000000" w:themeColor="text1"/>
          <w:szCs w:val="24"/>
        </w:rPr>
        <w:t>were allowed to</w:t>
      </w:r>
      <w:proofErr w:type="gramEnd"/>
      <w:r w:rsidRPr="009F4186">
        <w:rPr>
          <w:rFonts w:ascii="Arial" w:hAnsi="Arial" w:cs="Arial"/>
          <w:color w:val="000000" w:themeColor="text1"/>
          <w:szCs w:val="24"/>
        </w:rPr>
        <w:t xml:space="preserve"> recover for nine days, at which point pulmonary metastasis could be detected via bioluminescence. </w:t>
      </w:r>
      <w:r w:rsidR="00D91877">
        <w:rPr>
          <w:rFonts w:ascii="Arial" w:hAnsi="Arial" w:cs="Arial"/>
          <w:color w:val="000000" w:themeColor="text1"/>
          <w:szCs w:val="24"/>
        </w:rPr>
        <w:t>M</w:t>
      </w:r>
      <w:r w:rsidRPr="009F4186">
        <w:rPr>
          <w:rFonts w:ascii="Arial" w:hAnsi="Arial" w:cs="Arial"/>
          <w:color w:val="000000" w:themeColor="text1"/>
          <w:szCs w:val="24"/>
        </w:rPr>
        <w:t>ice were</w:t>
      </w:r>
      <w:r w:rsidR="00D91877">
        <w:rPr>
          <w:rFonts w:ascii="Arial" w:hAnsi="Arial" w:cs="Arial"/>
          <w:color w:val="000000" w:themeColor="text1"/>
          <w:szCs w:val="24"/>
        </w:rPr>
        <w:t xml:space="preserve"> then</w:t>
      </w:r>
      <w:r w:rsidRPr="009F4186">
        <w:rPr>
          <w:rFonts w:ascii="Arial" w:hAnsi="Arial" w:cs="Arial"/>
          <w:color w:val="000000" w:themeColor="text1"/>
          <w:szCs w:val="24"/>
        </w:rPr>
        <w:t xml:space="preserve"> separated into two cohorts and treated with either vehicle (DMSO) or FIIN4 (50mg/kg po/</w:t>
      </w:r>
      <w:proofErr w:type="spellStart"/>
      <w:r w:rsidRPr="009F4186">
        <w:rPr>
          <w:rFonts w:ascii="Arial" w:hAnsi="Arial" w:cs="Arial"/>
          <w:color w:val="000000" w:themeColor="text1"/>
          <w:szCs w:val="24"/>
        </w:rPr>
        <w:t>qod</w:t>
      </w:r>
      <w:proofErr w:type="spellEnd"/>
      <w:r w:rsidRPr="009F4186">
        <w:rPr>
          <w:rFonts w:ascii="Arial" w:hAnsi="Arial" w:cs="Arial"/>
          <w:color w:val="000000" w:themeColor="text1"/>
          <w:szCs w:val="24"/>
        </w:rPr>
        <w:t xml:space="preserve">).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(A)</w:t>
      </w:r>
      <w:r w:rsidRPr="009F4186">
        <w:rPr>
          <w:rFonts w:ascii="Arial" w:hAnsi="Arial" w:cs="Arial"/>
          <w:color w:val="000000" w:themeColor="text1"/>
          <w:szCs w:val="24"/>
        </w:rPr>
        <w:t xml:space="preserve"> Representative bioluminescent images of the mice at the indicated days post primary tumor removal.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(B)</w:t>
      </w:r>
      <w:r w:rsidRPr="009F4186">
        <w:rPr>
          <w:rFonts w:ascii="Arial" w:hAnsi="Arial" w:cs="Arial"/>
          <w:color w:val="000000" w:themeColor="text1"/>
          <w:szCs w:val="24"/>
        </w:rPr>
        <w:t xml:space="preserve"> The mean (±SD) bioluminescent values from each group taken at the indicated time points.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(C)</w:t>
      </w:r>
      <w:r w:rsidRPr="009F4186">
        <w:rPr>
          <w:rFonts w:ascii="Arial" w:hAnsi="Arial" w:cs="Arial"/>
          <w:color w:val="000000" w:themeColor="text1"/>
          <w:szCs w:val="24"/>
        </w:rPr>
        <w:t xml:space="preserve"> Survival analysis of mice following primary tumor removal (n=10 mice per group), the indicated </w:t>
      </w:r>
      <w:r w:rsidRPr="009F4186">
        <w:rPr>
          <w:rFonts w:ascii="Arial" w:hAnsi="Arial" w:cs="Arial"/>
          <w:i/>
          <w:iCs/>
          <w:color w:val="000000" w:themeColor="text1"/>
          <w:szCs w:val="24"/>
        </w:rPr>
        <w:t>p</w:t>
      </w:r>
      <w:r w:rsidRPr="009F4186">
        <w:rPr>
          <w:rFonts w:ascii="Arial" w:hAnsi="Arial" w:cs="Arial"/>
          <w:color w:val="000000" w:themeColor="text1"/>
          <w:szCs w:val="24"/>
        </w:rPr>
        <w:t>-value was calculated using a log rank test.</w:t>
      </w:r>
    </w:p>
    <w:p w14:paraId="09FECBE2" w14:textId="77777777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  <w:r w:rsidRPr="009F4186">
        <w:rPr>
          <w:rFonts w:ascii="Arial" w:hAnsi="Arial" w:cs="Arial"/>
          <w:color w:val="000000" w:themeColor="text1"/>
          <w:szCs w:val="24"/>
        </w:rPr>
        <w:br w:type="page"/>
      </w:r>
    </w:p>
    <w:p w14:paraId="0EE06111" w14:textId="3B2CC755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lastRenderedPageBreak/>
        <w:t xml:space="preserve">Supplemental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Figure </w:t>
      </w:r>
      <w:r w:rsidR="00C5655C">
        <w:rPr>
          <w:rFonts w:ascii="Arial" w:hAnsi="Arial" w:cs="Arial"/>
          <w:b/>
          <w:bCs/>
          <w:color w:val="000000" w:themeColor="text1"/>
          <w:szCs w:val="24"/>
        </w:rPr>
        <w:t>5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: </w:t>
      </w:r>
    </w:p>
    <w:p w14:paraId="50F872FC" w14:textId="77777777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</w:p>
    <w:p w14:paraId="66601505" w14:textId="77777777" w:rsidR="002C0D84" w:rsidRPr="009F4186" w:rsidRDefault="002C0D84" w:rsidP="002C0D84">
      <w:pPr>
        <w:spacing w:line="480" w:lineRule="auto"/>
        <w:rPr>
          <w:rFonts w:ascii="Arial" w:hAnsi="Arial" w:cs="Arial"/>
          <w:color w:val="000000" w:themeColor="text1"/>
          <w:szCs w:val="24"/>
        </w:rPr>
      </w:pPr>
      <w:r w:rsidRPr="009F4186"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F54CE3B" wp14:editId="73789F3F">
            <wp:extent cx="5898637" cy="61345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4. 4TO7 fatpad vs tailveinpsd.ps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505" cy="614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35B1A" w14:textId="77777777" w:rsidR="002C0D84" w:rsidRPr="009F4186" w:rsidRDefault="002C0D84" w:rsidP="002C0D84">
      <w:pPr>
        <w:spacing w:line="480" w:lineRule="auto"/>
        <w:rPr>
          <w:rFonts w:ascii="Arial" w:hAnsi="Arial" w:cs="Arial"/>
          <w:color w:val="000000" w:themeColor="text1"/>
          <w:szCs w:val="24"/>
        </w:rPr>
      </w:pPr>
    </w:p>
    <w:p w14:paraId="749AB8B4" w14:textId="3B94DAFE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Fig. </w:t>
      </w:r>
      <w:r w:rsidR="00C5655C" w:rsidRPr="009F4186">
        <w:rPr>
          <w:rFonts w:ascii="Arial" w:hAnsi="Arial" w:cs="Arial"/>
          <w:b/>
          <w:bCs/>
          <w:color w:val="000000" w:themeColor="text1"/>
          <w:szCs w:val="24"/>
        </w:rPr>
        <w:t>S</w:t>
      </w:r>
      <w:r w:rsidR="00C5655C">
        <w:rPr>
          <w:rFonts w:ascii="Arial" w:hAnsi="Arial" w:cs="Arial"/>
          <w:b/>
          <w:bCs/>
          <w:color w:val="000000" w:themeColor="text1"/>
          <w:szCs w:val="24"/>
        </w:rPr>
        <w:t>5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.</w:t>
      </w:r>
      <w:r w:rsidRPr="009F4186">
        <w:rPr>
          <w:rFonts w:ascii="Arial" w:hAnsi="Arial" w:cs="Arial"/>
          <w:color w:val="000000" w:themeColor="text1"/>
          <w:szCs w:val="24"/>
        </w:rPr>
        <w:t xml:space="preserve">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The 4TO7 tumors elicit similar immune cell infiltrations when delivered via tail vein or fat pad injections. </w:t>
      </w:r>
      <w:r w:rsidRPr="009F4186">
        <w:rPr>
          <w:rFonts w:ascii="Arial" w:hAnsi="Arial" w:cs="Arial"/>
          <w:color w:val="000000" w:themeColor="text1"/>
          <w:szCs w:val="24"/>
        </w:rPr>
        <w:t>BALB/c mice were engrafted with 4TO7 cells via either the mammary fat pad or tail vein injections. The spleens and tumor tissues were collected on day 7 for immune-profiling. (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A and B</w:t>
      </w:r>
      <w:r w:rsidRPr="009F4186">
        <w:rPr>
          <w:rFonts w:ascii="Arial" w:hAnsi="Arial" w:cs="Arial"/>
          <w:color w:val="000000" w:themeColor="text1"/>
          <w:szCs w:val="24"/>
        </w:rPr>
        <w:t>) Pictures and bar graphs show spleen size and weight, respectively. (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C-F</w:t>
      </w:r>
      <w:r w:rsidRPr="009F4186">
        <w:rPr>
          <w:rFonts w:ascii="Arial" w:hAnsi="Arial" w:cs="Arial"/>
          <w:color w:val="000000" w:themeColor="text1"/>
          <w:szCs w:val="24"/>
        </w:rPr>
        <w:t>) Replicated quantifications of indicated immune cells from the isolated tissue samples, quantified as a frequency of live events per sample</w:t>
      </w:r>
      <w:r w:rsidR="009045DC">
        <w:rPr>
          <w:rFonts w:ascii="Arial" w:hAnsi="Arial" w:cs="Arial"/>
          <w:color w:val="000000" w:themeColor="text1"/>
          <w:szCs w:val="24"/>
        </w:rPr>
        <w:t>. Two-tailed unpaired t-test analyses were performed to determine the significance</w:t>
      </w:r>
      <w:r w:rsidR="0085119F">
        <w:rPr>
          <w:rFonts w:ascii="Arial" w:hAnsi="Arial" w:cs="Arial"/>
          <w:color w:val="000000" w:themeColor="text1"/>
          <w:szCs w:val="24"/>
        </w:rPr>
        <w:t xml:space="preserve"> (ns = not significant)</w:t>
      </w:r>
      <w:r w:rsidRPr="009F4186">
        <w:rPr>
          <w:rFonts w:ascii="Arial" w:hAnsi="Arial" w:cs="Arial"/>
          <w:color w:val="000000" w:themeColor="text1"/>
          <w:szCs w:val="24"/>
        </w:rPr>
        <w:t xml:space="preserve">. </w:t>
      </w:r>
    </w:p>
    <w:p w14:paraId="6EACBD6F" w14:textId="77777777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br w:type="page"/>
      </w:r>
    </w:p>
    <w:p w14:paraId="2EE2C3ED" w14:textId="419E6A40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</w:p>
    <w:p w14:paraId="4C832D25" w14:textId="755EF3AF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Supplemental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Figure </w:t>
      </w:r>
      <w:r w:rsidR="00C5655C">
        <w:rPr>
          <w:rFonts w:ascii="Arial" w:hAnsi="Arial" w:cs="Arial"/>
          <w:b/>
          <w:bCs/>
          <w:color w:val="000000" w:themeColor="text1"/>
          <w:szCs w:val="24"/>
        </w:rPr>
        <w:t>6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: </w:t>
      </w:r>
    </w:p>
    <w:p w14:paraId="5F67BA4F" w14:textId="77777777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</w:p>
    <w:p w14:paraId="296348AF" w14:textId="77777777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  <w:r w:rsidRPr="009F4186"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15961AB1" wp14:editId="3A8AB8E4">
            <wp:extent cx="5486400" cy="5486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 5S-MDSC-Ancestry-Tree.ps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2F33" w14:textId="5A35B435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Fig. </w:t>
      </w:r>
      <w:r w:rsidR="00C5655C" w:rsidRPr="009F4186">
        <w:rPr>
          <w:rFonts w:ascii="Arial" w:hAnsi="Arial" w:cs="Arial"/>
          <w:b/>
          <w:bCs/>
          <w:color w:val="000000" w:themeColor="text1"/>
          <w:szCs w:val="24"/>
        </w:rPr>
        <w:t>S</w:t>
      </w:r>
      <w:r w:rsidR="00C5655C">
        <w:rPr>
          <w:rFonts w:ascii="Arial" w:hAnsi="Arial" w:cs="Arial"/>
          <w:b/>
          <w:bCs/>
          <w:color w:val="000000" w:themeColor="text1"/>
          <w:szCs w:val="24"/>
        </w:rPr>
        <w:t>6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. The gating ancestry </w:t>
      </w:r>
      <w:r w:rsidR="009F4186">
        <w:rPr>
          <w:rFonts w:ascii="Arial" w:hAnsi="Arial" w:cs="Arial"/>
          <w:b/>
          <w:bCs/>
          <w:color w:val="000000" w:themeColor="text1"/>
          <w:szCs w:val="24"/>
        </w:rPr>
        <w:t xml:space="preserve">for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MDSC populations</w:t>
      </w:r>
      <w:r w:rsidR="009F4186">
        <w:rPr>
          <w:rFonts w:ascii="Arial" w:hAnsi="Arial" w:cs="Arial"/>
          <w:b/>
          <w:bCs/>
          <w:color w:val="000000" w:themeColor="text1"/>
          <w:szCs w:val="24"/>
        </w:rPr>
        <w:t xml:space="preserve">. </w:t>
      </w:r>
      <w:r w:rsidR="009F4186">
        <w:rPr>
          <w:rFonts w:ascii="Arial" w:hAnsi="Arial" w:cs="Arial"/>
          <w:color w:val="000000" w:themeColor="text1"/>
          <w:szCs w:val="24"/>
        </w:rPr>
        <w:t>Tumors were isolated and digested into single cell suspensions as described in the materials and methods. These cells were sequentially gated as shown to identify a population of single cells, live cells, and CD11b</w:t>
      </w:r>
      <w:r w:rsidR="009F4186" w:rsidRPr="009F4186">
        <w:rPr>
          <w:rFonts w:ascii="Arial" w:hAnsi="Arial" w:cs="Arial"/>
          <w:color w:val="000000" w:themeColor="text1"/>
          <w:szCs w:val="24"/>
          <w:vertAlign w:val="superscript"/>
        </w:rPr>
        <w:t>+</w:t>
      </w:r>
      <w:r w:rsidR="009F4186">
        <w:rPr>
          <w:rFonts w:ascii="Arial" w:hAnsi="Arial" w:cs="Arial"/>
          <w:color w:val="000000" w:themeColor="text1"/>
          <w:szCs w:val="24"/>
        </w:rPr>
        <w:t xml:space="preserve"> cells prior to analysis of Ly-6G and Ly-6C.  </w:t>
      </w:r>
    </w:p>
    <w:p w14:paraId="46679842" w14:textId="77777777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</w:p>
    <w:p w14:paraId="0F4908ED" w14:textId="77777777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  <w:r w:rsidRPr="009F4186">
        <w:rPr>
          <w:rFonts w:ascii="Arial" w:hAnsi="Arial" w:cs="Arial"/>
          <w:color w:val="000000" w:themeColor="text1"/>
          <w:szCs w:val="24"/>
        </w:rPr>
        <w:br w:type="page"/>
      </w:r>
    </w:p>
    <w:p w14:paraId="7FE8239E" w14:textId="60ECBC94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lastRenderedPageBreak/>
        <w:t xml:space="preserve">Supplemental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Figure </w:t>
      </w:r>
      <w:r w:rsidR="00C5655C">
        <w:rPr>
          <w:rFonts w:ascii="Arial" w:hAnsi="Arial" w:cs="Arial"/>
          <w:b/>
          <w:bCs/>
          <w:color w:val="000000" w:themeColor="text1"/>
          <w:szCs w:val="24"/>
        </w:rPr>
        <w:t>7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:</w:t>
      </w:r>
    </w:p>
    <w:p w14:paraId="07AB5518" w14:textId="77777777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</w:p>
    <w:p w14:paraId="52EC3463" w14:textId="77777777" w:rsidR="002C0D84" w:rsidRPr="009F4186" w:rsidRDefault="002C0D84" w:rsidP="002C0D84">
      <w:pPr>
        <w:spacing w:line="480" w:lineRule="auto"/>
        <w:rPr>
          <w:rFonts w:ascii="Arial" w:hAnsi="Arial" w:cs="Arial"/>
          <w:color w:val="000000" w:themeColor="text1"/>
          <w:szCs w:val="24"/>
        </w:rPr>
      </w:pPr>
      <w:r w:rsidRPr="009F4186"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6E3CC54" wp14:editId="1C22B9FD">
            <wp:extent cx="3238500" cy="1981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S3. 4T1 direct combo.tif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9C6C" w14:textId="77777777" w:rsidR="002C0D84" w:rsidRPr="009F4186" w:rsidRDefault="002C0D84" w:rsidP="002C0D84">
      <w:pPr>
        <w:spacing w:line="480" w:lineRule="auto"/>
        <w:rPr>
          <w:rFonts w:ascii="Arial" w:hAnsi="Arial" w:cs="Arial"/>
          <w:color w:val="000000" w:themeColor="text1"/>
          <w:szCs w:val="24"/>
        </w:rPr>
      </w:pPr>
    </w:p>
    <w:p w14:paraId="5B57A8A2" w14:textId="525347C9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Fig. </w:t>
      </w:r>
      <w:r w:rsidR="00C5655C" w:rsidRPr="009F4186">
        <w:rPr>
          <w:rFonts w:ascii="Arial" w:hAnsi="Arial" w:cs="Arial"/>
          <w:b/>
          <w:bCs/>
          <w:color w:val="000000" w:themeColor="text1"/>
          <w:szCs w:val="24"/>
        </w:rPr>
        <w:t>S</w:t>
      </w:r>
      <w:r w:rsidR="00C5655C">
        <w:rPr>
          <w:rFonts w:ascii="Arial" w:hAnsi="Arial" w:cs="Arial"/>
          <w:b/>
          <w:bCs/>
          <w:color w:val="000000" w:themeColor="text1"/>
          <w:szCs w:val="24"/>
        </w:rPr>
        <w:t>7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.</w:t>
      </w:r>
      <w:r w:rsidRPr="009F4186">
        <w:rPr>
          <w:rFonts w:ascii="Arial" w:hAnsi="Arial" w:cs="Arial"/>
          <w:color w:val="000000" w:themeColor="text1"/>
          <w:szCs w:val="24"/>
        </w:rPr>
        <w:t xml:space="preserve">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The </w:t>
      </w:r>
      <w:r w:rsidR="00B9436B">
        <w:rPr>
          <w:rFonts w:ascii="Arial" w:hAnsi="Arial" w:cs="Arial"/>
          <w:b/>
          <w:bCs/>
          <w:color w:val="000000" w:themeColor="text1"/>
          <w:szCs w:val="24"/>
        </w:rPr>
        <w:t>a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ddition of </w:t>
      </w:r>
      <w:r w:rsidR="00B9436B">
        <w:rPr>
          <w:rFonts w:ascii="Arial" w:hAnsi="Arial" w:cs="Arial"/>
          <w:b/>
          <w:bCs/>
          <w:color w:val="000000" w:themeColor="text1"/>
          <w:szCs w:val="24"/>
        </w:rPr>
        <w:t xml:space="preserve">immune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checkpoint blockade does not improve FIIN4-mediated survival in 4T1 tumor-bearing mice</w:t>
      </w:r>
      <w:r w:rsidRPr="009F4186">
        <w:rPr>
          <w:rFonts w:ascii="Arial" w:hAnsi="Arial" w:cs="Arial"/>
          <w:color w:val="000000" w:themeColor="text1"/>
          <w:szCs w:val="24"/>
        </w:rPr>
        <w:t>. BALB/c mice were engrafted with</w:t>
      </w:r>
      <w:r w:rsidR="00E92215">
        <w:rPr>
          <w:rFonts w:ascii="Arial" w:hAnsi="Arial" w:cs="Arial"/>
          <w:color w:val="000000" w:themeColor="text1"/>
          <w:szCs w:val="24"/>
        </w:rPr>
        <w:t xml:space="preserve"> 5X</w:t>
      </w:r>
      <w:proofErr w:type="gramStart"/>
      <w:r w:rsidR="00E92215">
        <w:rPr>
          <w:rFonts w:ascii="Arial" w:hAnsi="Arial" w:cs="Arial"/>
          <w:color w:val="000000" w:themeColor="text1"/>
          <w:szCs w:val="24"/>
        </w:rPr>
        <w:t>10</w:t>
      </w:r>
      <w:r w:rsidR="00E92215">
        <w:rPr>
          <w:rFonts w:ascii="Arial" w:hAnsi="Arial" w:cs="Arial"/>
          <w:color w:val="000000" w:themeColor="text1"/>
          <w:szCs w:val="24"/>
          <w:vertAlign w:val="superscript"/>
        </w:rPr>
        <w:t xml:space="preserve">4 </w:t>
      </w:r>
      <w:r w:rsidRPr="009F4186">
        <w:rPr>
          <w:rFonts w:ascii="Arial" w:hAnsi="Arial" w:cs="Arial"/>
          <w:color w:val="000000" w:themeColor="text1"/>
          <w:szCs w:val="24"/>
        </w:rPr>
        <w:t xml:space="preserve"> 4</w:t>
      </w:r>
      <w:proofErr w:type="gramEnd"/>
      <w:r w:rsidRPr="009F4186">
        <w:rPr>
          <w:rFonts w:ascii="Arial" w:hAnsi="Arial" w:cs="Arial"/>
          <w:color w:val="000000" w:themeColor="text1"/>
          <w:szCs w:val="24"/>
        </w:rPr>
        <w:t xml:space="preserve">T1 cells via the mammary </w:t>
      </w:r>
      <w:proofErr w:type="spellStart"/>
      <w:r w:rsidRPr="009F4186">
        <w:rPr>
          <w:rFonts w:ascii="Arial" w:hAnsi="Arial" w:cs="Arial"/>
          <w:color w:val="000000" w:themeColor="text1"/>
          <w:szCs w:val="24"/>
        </w:rPr>
        <w:t>fatpad</w:t>
      </w:r>
      <w:proofErr w:type="spellEnd"/>
      <w:r w:rsidRPr="009F4186">
        <w:rPr>
          <w:rFonts w:ascii="Arial" w:hAnsi="Arial" w:cs="Arial"/>
          <w:color w:val="000000" w:themeColor="text1"/>
          <w:szCs w:val="24"/>
        </w:rPr>
        <w:t xml:space="preserve"> </w:t>
      </w:r>
      <w:r w:rsidR="00707618">
        <w:rPr>
          <w:rFonts w:ascii="Arial" w:hAnsi="Arial" w:cs="Arial"/>
          <w:color w:val="000000" w:themeColor="text1"/>
          <w:szCs w:val="24"/>
        </w:rPr>
        <w:t xml:space="preserve">(n = 4 mice per group) </w:t>
      </w:r>
      <w:r w:rsidRPr="009F4186">
        <w:rPr>
          <w:rFonts w:ascii="Arial" w:hAnsi="Arial" w:cs="Arial"/>
          <w:color w:val="000000" w:themeColor="text1"/>
          <w:szCs w:val="24"/>
        </w:rPr>
        <w:t xml:space="preserve">and primary tumors were removal 14 days later. Following primary tumor removal, mice </w:t>
      </w:r>
      <w:proofErr w:type="gramStart"/>
      <w:r w:rsidRPr="009F4186">
        <w:rPr>
          <w:rFonts w:ascii="Arial" w:hAnsi="Arial" w:cs="Arial"/>
          <w:color w:val="000000" w:themeColor="text1"/>
          <w:szCs w:val="24"/>
        </w:rPr>
        <w:t>were allowed to</w:t>
      </w:r>
      <w:proofErr w:type="gramEnd"/>
      <w:r w:rsidRPr="009F4186">
        <w:rPr>
          <w:rFonts w:ascii="Arial" w:hAnsi="Arial" w:cs="Arial"/>
          <w:color w:val="000000" w:themeColor="text1"/>
          <w:szCs w:val="24"/>
        </w:rPr>
        <w:t xml:space="preserve"> recover for 2 days and subsequently treated with FIIN4 (100 mg/kg/po/</w:t>
      </w:r>
      <w:proofErr w:type="spellStart"/>
      <w:r w:rsidRPr="009F4186">
        <w:rPr>
          <w:rFonts w:ascii="Arial" w:hAnsi="Arial" w:cs="Arial"/>
          <w:color w:val="000000" w:themeColor="text1"/>
          <w:szCs w:val="24"/>
        </w:rPr>
        <w:t>qd</w:t>
      </w:r>
      <w:proofErr w:type="spellEnd"/>
      <w:r w:rsidRPr="009F4186">
        <w:rPr>
          <w:rFonts w:ascii="Arial" w:hAnsi="Arial" w:cs="Arial"/>
          <w:color w:val="000000" w:themeColor="text1"/>
          <w:szCs w:val="24"/>
        </w:rPr>
        <w:t>) in the presence or absence of</w:t>
      </w:r>
      <w:r w:rsidR="00B9436B">
        <w:rPr>
          <w:rFonts w:ascii="Arial" w:hAnsi="Arial" w:cs="Arial"/>
          <w:color w:val="000000" w:themeColor="text1"/>
          <w:szCs w:val="24"/>
        </w:rPr>
        <w:t xml:space="preserve"> anti-</w:t>
      </w:r>
      <w:r w:rsidRPr="009F4186">
        <w:rPr>
          <w:rFonts w:ascii="Arial" w:hAnsi="Arial" w:cs="Arial"/>
          <w:color w:val="000000" w:themeColor="text1"/>
          <w:szCs w:val="24"/>
        </w:rPr>
        <w:t>PD1 antibodies (200 mg) administered every three days for a total of 4 doses.</w:t>
      </w:r>
      <w:r w:rsidR="00275009">
        <w:rPr>
          <w:rFonts w:ascii="Arial" w:hAnsi="Arial" w:cs="Arial"/>
          <w:color w:val="000000" w:themeColor="text1"/>
          <w:szCs w:val="24"/>
        </w:rPr>
        <w:t xml:space="preserve"> Data are representative of two independent experiments. </w:t>
      </w:r>
    </w:p>
    <w:p w14:paraId="4CED410B" w14:textId="77777777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  <w:r w:rsidRPr="009F4186">
        <w:rPr>
          <w:rFonts w:ascii="Arial" w:hAnsi="Arial" w:cs="Arial"/>
          <w:color w:val="000000" w:themeColor="text1"/>
          <w:szCs w:val="24"/>
        </w:rPr>
        <w:br w:type="page"/>
      </w:r>
    </w:p>
    <w:p w14:paraId="44E515F1" w14:textId="5FF5C80E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  <w:r w:rsidRPr="009F4186">
        <w:rPr>
          <w:rFonts w:ascii="Arial" w:hAnsi="Arial" w:cs="Arial"/>
          <w:b/>
          <w:bCs/>
          <w:color w:val="000000" w:themeColor="text1"/>
          <w:szCs w:val="24"/>
        </w:rPr>
        <w:lastRenderedPageBreak/>
        <w:t xml:space="preserve">Supplemental 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 xml:space="preserve">Figure </w:t>
      </w:r>
      <w:r w:rsidR="00C5655C">
        <w:rPr>
          <w:rFonts w:ascii="Arial" w:hAnsi="Arial" w:cs="Arial"/>
          <w:b/>
          <w:bCs/>
          <w:color w:val="000000" w:themeColor="text1"/>
          <w:szCs w:val="24"/>
        </w:rPr>
        <w:t>8</w:t>
      </w:r>
      <w:r w:rsidRPr="009F4186">
        <w:rPr>
          <w:rFonts w:ascii="Arial" w:hAnsi="Arial" w:cs="Arial"/>
          <w:b/>
          <w:bCs/>
          <w:color w:val="000000" w:themeColor="text1"/>
          <w:szCs w:val="24"/>
        </w:rPr>
        <w:t>:</w:t>
      </w:r>
    </w:p>
    <w:p w14:paraId="23879B50" w14:textId="77777777" w:rsidR="002C0D84" w:rsidRPr="009F4186" w:rsidRDefault="002C0D84" w:rsidP="002C0D84">
      <w:pPr>
        <w:rPr>
          <w:rFonts w:ascii="Arial" w:hAnsi="Arial" w:cs="Arial"/>
          <w:b/>
          <w:bCs/>
          <w:color w:val="000000" w:themeColor="text1"/>
          <w:szCs w:val="24"/>
        </w:rPr>
      </w:pPr>
    </w:p>
    <w:p w14:paraId="245E20F5" w14:textId="77777777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  <w:r w:rsidRPr="009F4186"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B45E1F8" wp14:editId="42FAD6BD">
            <wp:extent cx="5486091" cy="4942389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 S9 Kinome array comparison.ps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9" b="24891"/>
                    <a:stretch/>
                  </pic:blipFill>
                  <pic:spPr bwMode="auto">
                    <a:xfrm>
                      <a:off x="0" y="0"/>
                      <a:ext cx="5486400" cy="494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32920" w14:textId="77777777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</w:p>
    <w:p w14:paraId="41ED8D76" w14:textId="77777777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</w:p>
    <w:p w14:paraId="5158C3BB" w14:textId="2BEFEA7D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  <w:r w:rsidRPr="00352167">
        <w:rPr>
          <w:rFonts w:ascii="Arial" w:hAnsi="Arial" w:cs="Arial"/>
          <w:b/>
          <w:bCs/>
          <w:color w:val="000000" w:themeColor="text1"/>
          <w:szCs w:val="24"/>
        </w:rPr>
        <w:t xml:space="preserve">Fig. </w:t>
      </w:r>
      <w:r w:rsidR="00C5655C" w:rsidRPr="00352167">
        <w:rPr>
          <w:rFonts w:ascii="Arial" w:hAnsi="Arial" w:cs="Arial"/>
          <w:b/>
          <w:bCs/>
          <w:color w:val="000000" w:themeColor="text1"/>
          <w:szCs w:val="24"/>
        </w:rPr>
        <w:t>S</w:t>
      </w:r>
      <w:r w:rsidR="00C5655C">
        <w:rPr>
          <w:rFonts w:ascii="Arial" w:hAnsi="Arial" w:cs="Arial"/>
          <w:b/>
          <w:bCs/>
          <w:color w:val="000000" w:themeColor="text1"/>
          <w:szCs w:val="24"/>
        </w:rPr>
        <w:t>8</w:t>
      </w:r>
      <w:r w:rsidRPr="00352167">
        <w:rPr>
          <w:rFonts w:ascii="Arial" w:hAnsi="Arial" w:cs="Arial"/>
          <w:b/>
          <w:bCs/>
          <w:color w:val="000000" w:themeColor="text1"/>
          <w:szCs w:val="24"/>
        </w:rPr>
        <w:t>.</w:t>
      </w:r>
      <w:r w:rsidRPr="00352167">
        <w:rPr>
          <w:rFonts w:ascii="Arial" w:hAnsi="Arial" w:cs="Arial"/>
          <w:color w:val="000000" w:themeColor="text1"/>
          <w:szCs w:val="24"/>
        </w:rPr>
        <w:t xml:space="preserve"> </w:t>
      </w:r>
      <w:r w:rsidR="00B633D8" w:rsidRPr="00352167">
        <w:rPr>
          <w:rFonts w:ascii="Arial" w:hAnsi="Arial" w:cs="Arial"/>
          <w:b/>
          <w:bCs/>
          <w:color w:val="000000" w:themeColor="text1"/>
          <w:szCs w:val="24"/>
        </w:rPr>
        <w:t xml:space="preserve">Comparison of </w:t>
      </w:r>
      <w:proofErr w:type="spellStart"/>
      <w:r w:rsidR="00B633D8" w:rsidRPr="00352167">
        <w:rPr>
          <w:rFonts w:ascii="Arial" w:hAnsi="Arial" w:cs="Arial"/>
          <w:b/>
          <w:bCs/>
          <w:color w:val="000000" w:themeColor="text1"/>
          <w:szCs w:val="24"/>
        </w:rPr>
        <w:t>KINO</w:t>
      </w:r>
      <w:bookmarkStart w:id="0" w:name="_GoBack"/>
      <w:bookmarkEnd w:id="0"/>
      <w:r w:rsidR="00B633D8" w:rsidRPr="00352167">
        <w:rPr>
          <w:rFonts w:ascii="Arial" w:hAnsi="Arial" w:cs="Arial"/>
          <w:b/>
          <w:bCs/>
          <w:color w:val="000000" w:themeColor="text1"/>
          <w:szCs w:val="24"/>
        </w:rPr>
        <w:t>MEscan</w:t>
      </w:r>
      <w:proofErr w:type="spellEnd"/>
      <w:r w:rsidRPr="00352167">
        <w:rPr>
          <w:rFonts w:ascii="Arial" w:hAnsi="Arial" w:cs="Arial"/>
          <w:b/>
          <w:bCs/>
          <w:color w:val="000000" w:themeColor="text1"/>
          <w:szCs w:val="24"/>
        </w:rPr>
        <w:t xml:space="preserve"> analys</w:t>
      </w:r>
      <w:r w:rsidR="00B633D8" w:rsidRPr="00352167">
        <w:rPr>
          <w:rFonts w:ascii="Arial" w:hAnsi="Arial" w:cs="Arial"/>
          <w:b/>
          <w:bCs/>
          <w:color w:val="000000" w:themeColor="text1"/>
          <w:szCs w:val="24"/>
        </w:rPr>
        <w:t>es</w:t>
      </w:r>
      <w:r w:rsidRPr="00352167">
        <w:rPr>
          <w:rFonts w:ascii="Arial" w:hAnsi="Arial" w:cs="Arial"/>
          <w:b/>
          <w:bCs/>
          <w:color w:val="000000" w:themeColor="text1"/>
          <w:szCs w:val="24"/>
        </w:rPr>
        <w:t xml:space="preserve"> </w:t>
      </w:r>
      <w:r w:rsidR="00B633D8" w:rsidRPr="00352167">
        <w:rPr>
          <w:rFonts w:ascii="Arial" w:hAnsi="Arial" w:cs="Arial"/>
          <w:b/>
          <w:bCs/>
          <w:color w:val="000000" w:themeColor="text1"/>
          <w:szCs w:val="24"/>
        </w:rPr>
        <w:t xml:space="preserve">for </w:t>
      </w:r>
      <w:r w:rsidRPr="00352167">
        <w:rPr>
          <w:rFonts w:ascii="Arial" w:hAnsi="Arial" w:cs="Arial"/>
          <w:b/>
          <w:bCs/>
          <w:color w:val="000000" w:themeColor="text1"/>
          <w:szCs w:val="24"/>
        </w:rPr>
        <w:t xml:space="preserve">FIIN4 vs </w:t>
      </w:r>
      <w:proofErr w:type="spellStart"/>
      <w:r w:rsidRPr="00352167">
        <w:rPr>
          <w:rFonts w:ascii="Arial" w:hAnsi="Arial" w:cs="Arial"/>
          <w:b/>
          <w:bCs/>
          <w:color w:val="000000" w:themeColor="text1"/>
          <w:szCs w:val="24"/>
        </w:rPr>
        <w:t>Erdafitinib</w:t>
      </w:r>
      <w:proofErr w:type="spellEnd"/>
      <w:r w:rsidRPr="00352167">
        <w:rPr>
          <w:rFonts w:ascii="Arial" w:hAnsi="Arial" w:cs="Arial"/>
          <w:color w:val="000000" w:themeColor="text1"/>
          <w:szCs w:val="24"/>
        </w:rPr>
        <w:t xml:space="preserve">. (A) A Venn diagram analyzing overlap between the top 38 kinase </w:t>
      </w:r>
      <w:r w:rsidR="00B633D8" w:rsidRPr="00352167">
        <w:rPr>
          <w:rFonts w:ascii="Arial" w:hAnsi="Arial" w:cs="Arial"/>
          <w:color w:val="000000" w:themeColor="text1"/>
          <w:szCs w:val="24"/>
        </w:rPr>
        <w:t xml:space="preserve">binding </w:t>
      </w:r>
      <w:r w:rsidRPr="00352167">
        <w:rPr>
          <w:rFonts w:ascii="Arial" w:hAnsi="Arial" w:cs="Arial"/>
          <w:color w:val="000000" w:themeColor="text1"/>
          <w:szCs w:val="24"/>
        </w:rPr>
        <w:t xml:space="preserve">targets of FIIN4 and </w:t>
      </w:r>
      <w:proofErr w:type="spellStart"/>
      <w:r w:rsidRPr="00352167">
        <w:rPr>
          <w:rFonts w:ascii="Arial" w:hAnsi="Arial" w:cs="Arial"/>
          <w:color w:val="000000" w:themeColor="text1"/>
          <w:szCs w:val="24"/>
        </w:rPr>
        <w:t>erdafitinib</w:t>
      </w:r>
      <w:proofErr w:type="spellEnd"/>
      <w:r w:rsidRPr="00352167">
        <w:rPr>
          <w:rFonts w:ascii="Arial" w:hAnsi="Arial" w:cs="Arial"/>
          <w:color w:val="000000" w:themeColor="text1"/>
          <w:szCs w:val="24"/>
        </w:rPr>
        <w:t xml:space="preserve"> (JNJ-42756493).</w:t>
      </w:r>
      <w:r w:rsidR="00B633D8" w:rsidRPr="00352167">
        <w:rPr>
          <w:rFonts w:ascii="Arial" w:hAnsi="Arial" w:cs="Arial"/>
          <w:color w:val="000000" w:themeColor="text1"/>
          <w:szCs w:val="24"/>
        </w:rPr>
        <w:t xml:space="preserve"> Both </w:t>
      </w:r>
      <w:proofErr w:type="spellStart"/>
      <w:r w:rsidR="00B633D8" w:rsidRPr="00352167">
        <w:rPr>
          <w:rFonts w:ascii="Arial" w:hAnsi="Arial" w:cs="Arial"/>
          <w:color w:val="000000" w:themeColor="text1"/>
          <w:szCs w:val="24"/>
        </w:rPr>
        <w:t>KINOMEscan</w:t>
      </w:r>
      <w:proofErr w:type="spellEnd"/>
      <w:r w:rsidR="00B633D8" w:rsidRPr="00352167">
        <w:rPr>
          <w:rFonts w:ascii="Arial" w:hAnsi="Arial" w:cs="Arial"/>
          <w:color w:val="000000" w:themeColor="text1"/>
          <w:szCs w:val="24"/>
        </w:rPr>
        <w:t xml:space="preserve"> analyses were conducted previously using 1 </w:t>
      </w:r>
      <w:r w:rsidR="00B633D8" w:rsidRPr="00352167">
        <w:rPr>
          <w:rFonts w:ascii="Symbol" w:hAnsi="Symbol" w:cs="Arial"/>
          <w:color w:val="000000" w:themeColor="text1"/>
          <w:szCs w:val="24"/>
        </w:rPr>
        <w:t></w:t>
      </w:r>
      <w:r w:rsidR="00B633D8" w:rsidRPr="00352167">
        <w:rPr>
          <w:rFonts w:ascii="Arial" w:hAnsi="Arial" w:cs="Arial"/>
          <w:color w:val="000000" w:themeColor="text1"/>
          <w:szCs w:val="24"/>
        </w:rPr>
        <w:t>M of the indicated compounds</w:t>
      </w:r>
      <w:r w:rsidRPr="00352167">
        <w:rPr>
          <w:rFonts w:ascii="Arial" w:hAnsi="Arial" w:cs="Arial"/>
          <w:color w:val="000000" w:themeColor="text1"/>
          <w:szCs w:val="24"/>
        </w:rPr>
        <w:t xml:space="preserve"> </w:t>
      </w:r>
      <w:r w:rsidR="00B633D8" w:rsidRPr="00352167">
        <w:rPr>
          <w:rFonts w:ascii="Arial" w:hAnsi="Arial" w:cs="Arial"/>
          <w:color w:val="000000" w:themeColor="text1"/>
          <w:szCs w:val="24"/>
        </w:rPr>
        <w:t xml:space="preserve">against the </w:t>
      </w:r>
      <w:proofErr w:type="spellStart"/>
      <w:r w:rsidR="00B633D8" w:rsidRPr="00352167">
        <w:rPr>
          <w:rFonts w:ascii="Arial" w:hAnsi="Arial" w:cs="Arial"/>
          <w:color w:val="000000" w:themeColor="text1"/>
          <w:szCs w:val="24"/>
        </w:rPr>
        <w:t>DiscoverX</w:t>
      </w:r>
      <w:proofErr w:type="spellEnd"/>
      <w:r w:rsidR="00B633D8" w:rsidRPr="00352167">
        <w:rPr>
          <w:rFonts w:ascii="Arial" w:hAnsi="Arial" w:cs="Arial"/>
          <w:color w:val="000000" w:themeColor="text1"/>
          <w:szCs w:val="24"/>
        </w:rPr>
        <w:t xml:space="preserve"> platform of 450 kinases. </w:t>
      </w:r>
      <w:r w:rsidRPr="00352167">
        <w:rPr>
          <w:rFonts w:ascii="Arial" w:hAnsi="Arial" w:cs="Arial"/>
          <w:color w:val="000000" w:themeColor="text1"/>
          <w:szCs w:val="24"/>
        </w:rPr>
        <w:t xml:space="preserve">(B) </w:t>
      </w:r>
      <w:r w:rsidR="00B633D8" w:rsidRPr="00352167">
        <w:rPr>
          <w:rFonts w:ascii="Arial" w:hAnsi="Arial" w:cs="Arial"/>
          <w:color w:val="000000" w:themeColor="text1"/>
          <w:szCs w:val="24"/>
        </w:rPr>
        <w:t>A l</w:t>
      </w:r>
      <w:r w:rsidRPr="00352167">
        <w:rPr>
          <w:rFonts w:ascii="Arial" w:hAnsi="Arial" w:cs="Arial"/>
          <w:color w:val="000000" w:themeColor="text1"/>
          <w:szCs w:val="24"/>
        </w:rPr>
        <w:t xml:space="preserve">ist of the </w:t>
      </w:r>
      <w:r w:rsidR="00B633D8" w:rsidRPr="00352167">
        <w:rPr>
          <w:rFonts w:ascii="Arial" w:hAnsi="Arial" w:cs="Arial"/>
          <w:color w:val="000000" w:themeColor="text1"/>
          <w:szCs w:val="24"/>
        </w:rPr>
        <w:t xml:space="preserve">top </w:t>
      </w:r>
      <w:r w:rsidRPr="00352167">
        <w:rPr>
          <w:rFonts w:ascii="Arial" w:hAnsi="Arial" w:cs="Arial"/>
          <w:color w:val="000000" w:themeColor="text1"/>
          <w:szCs w:val="24"/>
        </w:rPr>
        <w:t>16 common target kinases of these</w:t>
      </w:r>
      <w:r w:rsidRPr="009F4186">
        <w:rPr>
          <w:rFonts w:ascii="Arial" w:hAnsi="Arial" w:cs="Arial"/>
          <w:color w:val="000000" w:themeColor="text1"/>
          <w:szCs w:val="24"/>
        </w:rPr>
        <w:t xml:space="preserve"> two FGFR inhibitors.  </w:t>
      </w:r>
    </w:p>
    <w:p w14:paraId="5559AAEF" w14:textId="77777777" w:rsidR="002C0D84" w:rsidRPr="009F4186" w:rsidRDefault="002C0D84" w:rsidP="002C0D84">
      <w:pPr>
        <w:rPr>
          <w:rFonts w:ascii="Arial" w:hAnsi="Arial" w:cs="Arial"/>
          <w:color w:val="000000" w:themeColor="text1"/>
          <w:szCs w:val="24"/>
        </w:rPr>
      </w:pPr>
    </w:p>
    <w:p w14:paraId="6BFF7008" w14:textId="77777777" w:rsidR="00A94E04" w:rsidRPr="009F4186" w:rsidRDefault="001F3A13">
      <w:pPr>
        <w:rPr>
          <w:color w:val="000000" w:themeColor="text1"/>
        </w:rPr>
      </w:pPr>
    </w:p>
    <w:sectPr w:rsidR="00A94E04" w:rsidRPr="009F4186" w:rsidSect="001421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D84"/>
    <w:rsid w:val="000816B9"/>
    <w:rsid w:val="00083E59"/>
    <w:rsid w:val="000B414F"/>
    <w:rsid w:val="001118E3"/>
    <w:rsid w:val="001521B2"/>
    <w:rsid w:val="00152381"/>
    <w:rsid w:val="001D27C4"/>
    <w:rsid w:val="001F3A13"/>
    <w:rsid w:val="0020014D"/>
    <w:rsid w:val="00275009"/>
    <w:rsid w:val="002C0D84"/>
    <w:rsid w:val="00352167"/>
    <w:rsid w:val="00554AAD"/>
    <w:rsid w:val="005637A7"/>
    <w:rsid w:val="005A6009"/>
    <w:rsid w:val="005B028C"/>
    <w:rsid w:val="005F26BD"/>
    <w:rsid w:val="00707618"/>
    <w:rsid w:val="00764680"/>
    <w:rsid w:val="0085119F"/>
    <w:rsid w:val="008E390C"/>
    <w:rsid w:val="009045DC"/>
    <w:rsid w:val="00907B4D"/>
    <w:rsid w:val="00937B81"/>
    <w:rsid w:val="00962B6D"/>
    <w:rsid w:val="009A1DF5"/>
    <w:rsid w:val="009E3521"/>
    <w:rsid w:val="009F4186"/>
    <w:rsid w:val="00A57737"/>
    <w:rsid w:val="00A61905"/>
    <w:rsid w:val="00B23F8D"/>
    <w:rsid w:val="00B633D8"/>
    <w:rsid w:val="00B70BC1"/>
    <w:rsid w:val="00B9436B"/>
    <w:rsid w:val="00C0125E"/>
    <w:rsid w:val="00C5655C"/>
    <w:rsid w:val="00CE56B3"/>
    <w:rsid w:val="00D91877"/>
    <w:rsid w:val="00DA6DB4"/>
    <w:rsid w:val="00DB4762"/>
    <w:rsid w:val="00DE7C0C"/>
    <w:rsid w:val="00E92215"/>
    <w:rsid w:val="00EA7AA6"/>
    <w:rsid w:val="00F1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6B70E"/>
  <w15:chartTrackingRefBased/>
  <w15:docId w15:val="{E87B76B8-5E96-214A-9118-0B226F988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0D84"/>
    <w:rPr>
      <w:rFonts w:eastAsiaTheme="minorHAnsi" w:cs="Vrinda"/>
      <w:szCs w:val="30"/>
      <w:lang w:eastAsia="en-US" w:bidi="b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418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737"/>
    <w:rPr>
      <w:rFonts w:ascii="Segoe UI" w:hAnsi="Segoe UI" w:cs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737"/>
    <w:rPr>
      <w:rFonts w:ascii="Segoe UI" w:eastAsiaTheme="minorHAnsi" w:hAnsi="Segoe UI" w:cs="Segoe UI"/>
      <w:sz w:val="18"/>
      <w:szCs w:val="22"/>
      <w:lang w:eastAsia="en-US" w:bidi="bn-IN"/>
    </w:rPr>
  </w:style>
  <w:style w:type="character" w:styleId="CommentReference">
    <w:name w:val="annotation reference"/>
    <w:basedOn w:val="DefaultParagraphFont"/>
    <w:uiPriority w:val="99"/>
    <w:semiHidden/>
    <w:unhideWhenUsed/>
    <w:rsid w:val="00A577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7737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7737"/>
    <w:rPr>
      <w:rFonts w:eastAsiaTheme="minorHAnsi" w:cs="Vrinda"/>
      <w:sz w:val="20"/>
      <w:szCs w:val="25"/>
      <w:lang w:eastAsia="en-US" w:bidi="bn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7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737"/>
    <w:rPr>
      <w:rFonts w:eastAsiaTheme="minorHAnsi" w:cs="Vrinda"/>
      <w:b/>
      <w:bCs/>
      <w:sz w:val="20"/>
      <w:szCs w:val="25"/>
      <w:lang w:eastAsia="en-US" w:bidi="b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Wendt, Michael K</dc:creator>
  <cp:keywords/>
  <dc:description/>
  <cp:lastModifiedBy>Honey, Karen</cp:lastModifiedBy>
  <cp:revision>4</cp:revision>
  <dcterms:created xsi:type="dcterms:W3CDTF">2020-10-08T20:24:00Z</dcterms:created>
  <dcterms:modified xsi:type="dcterms:W3CDTF">2020-10-08T20:40:00Z</dcterms:modified>
</cp:coreProperties>
</file>