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2A2A37" w14:textId="3081381B" w:rsidR="00FF3047" w:rsidRPr="003869D9" w:rsidRDefault="00FF3047" w:rsidP="009A22C9">
      <w:pPr>
        <w:pStyle w:val="SOMHead"/>
        <w:spacing w:before="0" w:after="120"/>
        <w:rPr>
          <w:rFonts w:ascii="Arial" w:hAnsi="Arial" w:cs="Arial"/>
          <w:sz w:val="20"/>
          <w:szCs w:val="20"/>
        </w:rPr>
      </w:pPr>
      <w:r w:rsidRPr="003869D9">
        <w:rPr>
          <w:rFonts w:ascii="Arial" w:hAnsi="Arial" w:cs="Arial"/>
          <w:sz w:val="20"/>
          <w:szCs w:val="20"/>
        </w:rPr>
        <w:t>Supplementary Figure 1</w:t>
      </w:r>
    </w:p>
    <w:p w14:paraId="2121FBFB" w14:textId="3081381B" w:rsidR="0053141D" w:rsidRPr="009A22C9" w:rsidRDefault="0053141D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  <w:r w:rsidRPr="009A22C9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5BA1DC2A" wp14:editId="6B88124B">
            <wp:extent cx="5727700" cy="3440430"/>
            <wp:effectExtent l="0" t="0" r="0" b="127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 1.tif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C974C" w14:textId="77777777" w:rsidR="003869D9" w:rsidRDefault="003869D9" w:rsidP="009A22C9">
      <w:pPr>
        <w:pStyle w:val="Paragraph"/>
        <w:spacing w:before="0" w:after="120" w:line="276" w:lineRule="auto"/>
        <w:ind w:firstLine="0"/>
        <w:rPr>
          <w:rFonts w:ascii="Arial" w:hAnsi="Arial" w:cs="Arial"/>
          <w:b/>
          <w:bCs/>
          <w:sz w:val="22"/>
          <w:szCs w:val="22"/>
        </w:rPr>
      </w:pPr>
    </w:p>
    <w:p w14:paraId="760EDB1E" w14:textId="77777777" w:rsidR="003869D9" w:rsidRPr="003869D9" w:rsidRDefault="003869D9" w:rsidP="009A22C9">
      <w:pPr>
        <w:pStyle w:val="Paragraph"/>
        <w:spacing w:before="0" w:after="120" w:line="276" w:lineRule="auto"/>
        <w:ind w:firstLine="0"/>
        <w:rPr>
          <w:rFonts w:ascii="Arial" w:hAnsi="Arial" w:cs="Arial"/>
          <w:b/>
          <w:bCs/>
          <w:sz w:val="20"/>
          <w:szCs w:val="20"/>
        </w:rPr>
      </w:pPr>
    </w:p>
    <w:p w14:paraId="2FCC8BE0" w14:textId="61FAC567" w:rsidR="0053141D" w:rsidRPr="003869D9" w:rsidRDefault="0053141D" w:rsidP="009A22C9">
      <w:pPr>
        <w:pStyle w:val="Paragraph"/>
        <w:spacing w:before="0" w:after="120" w:line="276" w:lineRule="auto"/>
        <w:ind w:firstLine="0"/>
        <w:rPr>
          <w:rFonts w:ascii="Arial" w:hAnsi="Arial" w:cs="Arial"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t xml:space="preserve">Fig. S1. </w:t>
      </w:r>
      <w:proofErr w:type="spellStart"/>
      <w:r w:rsidRPr="003869D9">
        <w:rPr>
          <w:rFonts w:ascii="Arial" w:hAnsi="Arial" w:cs="Arial"/>
          <w:sz w:val="20"/>
          <w:szCs w:val="20"/>
        </w:rPr>
        <w:t>Reactome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Pathway Analysis of DEGs Highly Expressed in Responding </w:t>
      </w:r>
      <w:proofErr w:type="spellStart"/>
      <w:r w:rsidRPr="003869D9">
        <w:rPr>
          <w:rFonts w:ascii="Arial" w:hAnsi="Arial" w:cs="Arial"/>
          <w:sz w:val="20"/>
          <w:szCs w:val="20"/>
        </w:rPr>
        <w:t>Tumours</w:t>
      </w:r>
      <w:proofErr w:type="spellEnd"/>
      <w:r w:rsidR="000815B5">
        <w:rPr>
          <w:rFonts w:ascii="Arial" w:hAnsi="Arial" w:cs="Arial"/>
          <w:sz w:val="20"/>
          <w:szCs w:val="20"/>
        </w:rPr>
        <w:t xml:space="preserve"> (</w:t>
      </w:r>
      <w:r w:rsidR="000815B5" w:rsidRPr="000815B5">
        <w:rPr>
          <w:rFonts w:ascii="Arial" w:hAnsi="Arial" w:cs="Arial"/>
          <w:b/>
          <w:bCs/>
          <w:sz w:val="20"/>
          <w:szCs w:val="20"/>
        </w:rPr>
        <w:t>A</w:t>
      </w:r>
      <w:r w:rsidR="000815B5">
        <w:rPr>
          <w:rFonts w:ascii="Arial" w:hAnsi="Arial" w:cs="Arial"/>
          <w:sz w:val="20"/>
          <w:szCs w:val="20"/>
        </w:rPr>
        <w:t>) and Non-Responders (</w:t>
      </w:r>
      <w:r w:rsidR="000815B5" w:rsidRPr="000815B5">
        <w:rPr>
          <w:rFonts w:ascii="Arial" w:hAnsi="Arial" w:cs="Arial"/>
          <w:b/>
          <w:bCs/>
          <w:sz w:val="20"/>
          <w:szCs w:val="20"/>
        </w:rPr>
        <w:t>B</w:t>
      </w:r>
      <w:r w:rsidR="000815B5">
        <w:rPr>
          <w:rFonts w:ascii="Arial" w:hAnsi="Arial" w:cs="Arial"/>
          <w:sz w:val="20"/>
          <w:szCs w:val="20"/>
        </w:rPr>
        <w:t>)</w:t>
      </w:r>
      <w:r w:rsidRPr="003869D9">
        <w:rPr>
          <w:rFonts w:ascii="Arial" w:hAnsi="Arial" w:cs="Arial"/>
          <w:sz w:val="20"/>
          <w:szCs w:val="20"/>
        </w:rPr>
        <w:t xml:space="preserve">. Gene lists resulting from </w:t>
      </w:r>
      <w:proofErr w:type="spellStart"/>
      <w:r w:rsidRPr="003869D9">
        <w:rPr>
          <w:rFonts w:ascii="Arial" w:hAnsi="Arial" w:cs="Arial"/>
          <w:sz w:val="20"/>
          <w:szCs w:val="20"/>
        </w:rPr>
        <w:t>Limma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differential expression analysis were </w:t>
      </w:r>
      <w:proofErr w:type="spellStart"/>
      <w:r w:rsidRPr="003869D9">
        <w:rPr>
          <w:rFonts w:ascii="Arial" w:hAnsi="Arial" w:cs="Arial"/>
          <w:sz w:val="20"/>
          <w:szCs w:val="20"/>
        </w:rPr>
        <w:t>analysed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by </w:t>
      </w:r>
      <w:proofErr w:type="spellStart"/>
      <w:r w:rsidRPr="003869D9">
        <w:rPr>
          <w:rFonts w:ascii="Arial" w:hAnsi="Arial" w:cs="Arial"/>
          <w:sz w:val="20"/>
          <w:szCs w:val="20"/>
        </w:rPr>
        <w:t>reactome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pathway analysis in R and plotted using the </w:t>
      </w:r>
      <w:proofErr w:type="spellStart"/>
      <w:r w:rsidRPr="003869D9">
        <w:rPr>
          <w:rFonts w:ascii="Arial" w:hAnsi="Arial" w:cs="Arial"/>
          <w:sz w:val="20"/>
          <w:szCs w:val="20"/>
        </w:rPr>
        <w:t>reactome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package.</w:t>
      </w:r>
    </w:p>
    <w:p w14:paraId="551ED2FC" w14:textId="37727E1D" w:rsidR="0053141D" w:rsidRDefault="0053141D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</w:p>
    <w:p w14:paraId="3E5D02CA" w14:textId="1140DA93" w:rsidR="00FF3047" w:rsidRDefault="00FF3047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</w:p>
    <w:p w14:paraId="000DEF0E" w14:textId="3198A1A9" w:rsidR="00FF3047" w:rsidRDefault="00FF3047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</w:p>
    <w:p w14:paraId="477EA55D" w14:textId="609AC783" w:rsidR="00FF3047" w:rsidRDefault="00FF3047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</w:p>
    <w:p w14:paraId="2CE4C78E" w14:textId="3C1FDA44" w:rsidR="00FF3047" w:rsidRDefault="00FF3047">
      <w:pPr>
        <w:rPr>
          <w:rFonts w:ascii="Arial" w:eastAsia="Times New Roman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</w:p>
    <w:p w14:paraId="2D053C3E" w14:textId="77777777" w:rsidR="00FF3047" w:rsidRPr="00FF3047" w:rsidRDefault="00FF3047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2"/>
          <w:szCs w:val="22"/>
        </w:rPr>
      </w:pPr>
    </w:p>
    <w:p w14:paraId="2425C39A" w14:textId="6B3A7177" w:rsidR="00FF3047" w:rsidRPr="003869D9" w:rsidRDefault="00FF3047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t>Supplementary Figure 2</w:t>
      </w:r>
    </w:p>
    <w:p w14:paraId="1A90F9BF" w14:textId="77777777" w:rsidR="0053141D" w:rsidRPr="009A22C9" w:rsidRDefault="0053141D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  <w:r w:rsidRPr="009A22C9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5E32BBAF" wp14:editId="29F6F1B6">
            <wp:extent cx="5763866" cy="4319704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866" cy="431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9D2F4" w14:textId="3CE4F2B0" w:rsidR="0053141D" w:rsidRPr="003869D9" w:rsidRDefault="0053141D" w:rsidP="00EA2E75">
      <w:pPr>
        <w:pStyle w:val="Paragraph"/>
        <w:spacing w:before="0" w:after="120" w:line="276" w:lineRule="auto"/>
        <w:ind w:firstLine="0"/>
        <w:jc w:val="both"/>
        <w:rPr>
          <w:rFonts w:ascii="Arial" w:hAnsi="Arial" w:cs="Arial"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t>Fig. S2.</w:t>
      </w:r>
      <w:r w:rsidRPr="003869D9">
        <w:rPr>
          <w:rFonts w:ascii="Arial" w:hAnsi="Arial" w:cs="Arial"/>
          <w:sz w:val="20"/>
          <w:szCs w:val="20"/>
        </w:rPr>
        <w:t xml:space="preserve"> Manhattan Distance Analysis of Tumour Expression Against </w:t>
      </w:r>
      <w:proofErr w:type="spellStart"/>
      <w:r w:rsidRPr="003869D9">
        <w:rPr>
          <w:rFonts w:ascii="Arial" w:hAnsi="Arial" w:cs="Arial"/>
          <w:sz w:val="20"/>
          <w:szCs w:val="20"/>
        </w:rPr>
        <w:t>Tnc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. A, Top 30 genes with the lowest Manhattan distances from </w:t>
      </w:r>
      <w:proofErr w:type="spellStart"/>
      <w:r w:rsidRPr="003869D9">
        <w:rPr>
          <w:rFonts w:ascii="Arial" w:hAnsi="Arial" w:cs="Arial"/>
          <w:i/>
          <w:iCs/>
          <w:sz w:val="20"/>
          <w:szCs w:val="20"/>
        </w:rPr>
        <w:t>Tnc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calculated using median </w:t>
      </w:r>
      <w:proofErr w:type="spellStart"/>
      <w:r w:rsidRPr="003869D9">
        <w:rPr>
          <w:rFonts w:ascii="Arial" w:hAnsi="Arial" w:cs="Arial"/>
          <w:sz w:val="20"/>
          <w:szCs w:val="20"/>
        </w:rPr>
        <w:t>normalised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gene expression values between responding and non-responding mice. B, Corresponding bottom 30 genes with the furthest distance from </w:t>
      </w:r>
      <w:proofErr w:type="spellStart"/>
      <w:r w:rsidRPr="003869D9">
        <w:rPr>
          <w:rFonts w:ascii="Arial" w:hAnsi="Arial" w:cs="Arial"/>
          <w:i/>
          <w:iCs/>
          <w:sz w:val="20"/>
          <w:szCs w:val="20"/>
        </w:rPr>
        <w:t>Tnc</w:t>
      </w:r>
      <w:proofErr w:type="spellEnd"/>
      <w:r w:rsidRPr="003869D9">
        <w:rPr>
          <w:rFonts w:ascii="Arial" w:hAnsi="Arial" w:cs="Arial"/>
          <w:sz w:val="20"/>
          <w:szCs w:val="20"/>
        </w:rPr>
        <w:t>.</w:t>
      </w:r>
      <w:r w:rsidR="00EA2E75" w:rsidRPr="003869D9">
        <w:rPr>
          <w:rFonts w:ascii="Arial" w:hAnsi="Arial" w:cs="Arial"/>
          <w:sz w:val="20"/>
          <w:szCs w:val="20"/>
        </w:rPr>
        <w:t xml:space="preserve"> C, List of top 30 genes with opposing expressing patterns to </w:t>
      </w:r>
      <w:proofErr w:type="spellStart"/>
      <w:r w:rsidR="00EA2E75" w:rsidRPr="003869D9">
        <w:rPr>
          <w:rFonts w:ascii="Arial" w:hAnsi="Arial" w:cs="Arial"/>
          <w:i/>
          <w:iCs/>
          <w:sz w:val="20"/>
          <w:szCs w:val="20"/>
        </w:rPr>
        <w:t>Tnc</w:t>
      </w:r>
      <w:proofErr w:type="spellEnd"/>
      <w:r w:rsidR="00EA2E75" w:rsidRPr="003869D9">
        <w:rPr>
          <w:rFonts w:ascii="Arial" w:hAnsi="Arial" w:cs="Arial"/>
          <w:sz w:val="20"/>
          <w:szCs w:val="20"/>
        </w:rPr>
        <w:t>.</w:t>
      </w:r>
    </w:p>
    <w:p w14:paraId="363F0D73" w14:textId="20C29C2B" w:rsidR="00FF3047" w:rsidRDefault="00FF3047">
      <w:pPr>
        <w:rPr>
          <w:rFonts w:ascii="Arial" w:eastAsia="Times New Roman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2576B0A6" w14:textId="77777777" w:rsidR="00FF3047" w:rsidRPr="003869D9" w:rsidRDefault="00FF3047" w:rsidP="00FF3047">
      <w:pPr>
        <w:pStyle w:val="Paragraph"/>
        <w:spacing w:before="0" w:after="120" w:line="276" w:lineRule="auto"/>
        <w:ind w:firstLine="0"/>
        <w:jc w:val="both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lastRenderedPageBreak/>
        <w:t>Supplementary Figure 3</w:t>
      </w:r>
    </w:p>
    <w:p w14:paraId="4C0DC62C" w14:textId="7685DAE5" w:rsidR="00C35491" w:rsidRPr="00C35491" w:rsidRDefault="00C35491" w:rsidP="00FF3047">
      <w:pPr>
        <w:pStyle w:val="Paragraph"/>
        <w:spacing w:before="0" w:after="120" w:line="276" w:lineRule="auto"/>
        <w:ind w:firstLine="0"/>
        <w:jc w:val="both"/>
        <w:rPr>
          <w:rFonts w:ascii="Arial" w:hAnsi="Arial" w:cs="Arial"/>
          <w:b/>
          <w:bCs/>
          <w:sz w:val="22"/>
          <w:szCs w:val="22"/>
        </w:rPr>
      </w:pPr>
      <w:r w:rsidRPr="00C35491">
        <w:rPr>
          <w:rFonts w:ascii="Arial" w:hAnsi="Arial" w:cs="Arial"/>
          <w:b/>
          <w:bCs/>
          <w:sz w:val="22"/>
          <w:szCs w:val="22"/>
        </w:rPr>
        <w:t>A</w:t>
      </w:r>
    </w:p>
    <w:p w14:paraId="6F0C9E50" w14:textId="082B69B2" w:rsidR="00C35491" w:rsidRDefault="000815B5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  <w:r w:rsidRPr="003869D9">
        <w:rPr>
          <w:rFonts w:ascii="Arial" w:hAnsi="Arial" w:cs="Arial"/>
          <w:b/>
          <w:bCs/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5E1D3524" wp14:editId="5083DC19">
            <wp:simplePos x="0" y="0"/>
            <wp:positionH relativeFrom="column">
              <wp:posOffset>1232103</wp:posOffset>
            </wp:positionH>
            <wp:positionV relativeFrom="paragraph">
              <wp:posOffset>3705225</wp:posOffset>
            </wp:positionV>
            <wp:extent cx="3033395" cy="2626360"/>
            <wp:effectExtent l="0" t="0" r="0" b="0"/>
            <wp:wrapSquare wrapText="bothSides"/>
            <wp:docPr id="2" name="Picture 2" descr="A close up of a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491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18A1684D" wp14:editId="049A515A">
            <wp:extent cx="5358063" cy="3672828"/>
            <wp:effectExtent l="0" t="0" r="1905" b="0"/>
            <wp:docPr id="3" name="Picture 3" descr="A picture containing green, grass, sitting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4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9" cy="368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7F15B" w14:textId="7989DD15" w:rsidR="00C35491" w:rsidRPr="00C35491" w:rsidRDefault="00C35491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2"/>
          <w:szCs w:val="22"/>
        </w:rPr>
      </w:pPr>
      <w:r w:rsidRPr="00C35491">
        <w:rPr>
          <w:rFonts w:ascii="Arial" w:hAnsi="Arial" w:cs="Arial"/>
          <w:b/>
          <w:bCs/>
          <w:sz w:val="22"/>
          <w:szCs w:val="22"/>
        </w:rPr>
        <w:t>B</w:t>
      </w:r>
    </w:p>
    <w:p w14:paraId="771F5540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5F296221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7B54BCE1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0F628BDC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4D834C2C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5493D98C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71879175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62AB9801" w14:textId="64016DA9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25D8E03C" w14:textId="77777777" w:rsidR="000815B5" w:rsidRDefault="000815B5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6E9D1F18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5C2DF659" w14:textId="77777777" w:rsidR="003869D9" w:rsidRDefault="003869D9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</w:p>
    <w:p w14:paraId="09726E18" w14:textId="1CBEBB8E" w:rsidR="00FF3047" w:rsidRPr="003869D9" w:rsidRDefault="00FF3047" w:rsidP="00FF3047">
      <w:pPr>
        <w:pStyle w:val="NormalWeb"/>
        <w:spacing w:before="0" w:beforeAutospacing="0" w:after="0" w:afterAutospacing="0" w:line="360" w:lineRule="auto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t xml:space="preserve">Fig. S3. A, </w:t>
      </w:r>
      <w:r w:rsidRPr="003869D9">
        <w:rPr>
          <w:rFonts w:ascii="Arial" w:hAnsi="Arial" w:cs="Arial"/>
          <w:sz w:val="20"/>
          <w:szCs w:val="20"/>
        </w:rPr>
        <w:t>Representative images of TNC expression pattern (green) in tumours. A low power image through a whole tumour (left) shows TNC highly concentrated on the edges. Medium power images (centre, 1) show</w:t>
      </w:r>
      <w:r w:rsidR="003869D9" w:rsidRPr="003869D9">
        <w:rPr>
          <w:rFonts w:ascii="Arial" w:hAnsi="Arial" w:cs="Arial"/>
          <w:sz w:val="20"/>
          <w:szCs w:val="20"/>
        </w:rPr>
        <w:t xml:space="preserve"> </w:t>
      </w:r>
      <w:r w:rsidRPr="003869D9">
        <w:rPr>
          <w:rFonts w:ascii="Arial" w:hAnsi="Arial" w:cs="Arial"/>
          <w:sz w:val="20"/>
          <w:szCs w:val="20"/>
        </w:rPr>
        <w:t xml:space="preserve">TNC is found more towards the edge (right, 2) </w:t>
      </w:r>
      <w:r w:rsidR="003869D9" w:rsidRPr="003869D9">
        <w:rPr>
          <w:rFonts w:ascii="Arial" w:hAnsi="Arial" w:cs="Arial"/>
          <w:sz w:val="20"/>
          <w:szCs w:val="20"/>
        </w:rPr>
        <w:t>than</w:t>
      </w:r>
      <w:r w:rsidRPr="003869D9">
        <w:rPr>
          <w:rFonts w:ascii="Arial" w:hAnsi="Arial" w:cs="Arial"/>
          <w:sz w:val="20"/>
          <w:szCs w:val="20"/>
        </w:rPr>
        <w:t xml:space="preserve"> the core (right, 3) of the tumour.</w:t>
      </w:r>
      <w:r w:rsidRPr="003869D9">
        <w:rPr>
          <w:rFonts w:ascii="Arial" w:hAnsi="Arial" w:cs="Arial"/>
          <w:b/>
          <w:bCs/>
          <w:sz w:val="20"/>
          <w:szCs w:val="20"/>
        </w:rPr>
        <w:t xml:space="preserve"> B, </w:t>
      </w:r>
      <w:r w:rsidRPr="003869D9">
        <w:rPr>
          <w:rFonts w:ascii="Arial" w:hAnsi="Arial" w:cs="Arial"/>
          <w:sz w:val="20"/>
          <w:szCs w:val="20"/>
        </w:rPr>
        <w:t>Quantification of intratumoural TNC immunofluorescent signal in tumours of Untreated (Treg</w:t>
      </w:r>
      <w:r w:rsidRPr="003869D9">
        <w:rPr>
          <w:rFonts w:ascii="Arial" w:hAnsi="Arial" w:cs="Arial"/>
          <w:sz w:val="20"/>
          <w:szCs w:val="20"/>
          <w:vertAlign w:val="superscript"/>
        </w:rPr>
        <w:t>+</w:t>
      </w:r>
      <w:r w:rsidRPr="003869D9">
        <w:rPr>
          <w:rFonts w:ascii="Arial" w:hAnsi="Arial" w:cs="Arial"/>
          <w:sz w:val="20"/>
          <w:szCs w:val="20"/>
        </w:rPr>
        <w:t>) (N=10), Non-Responder (Treg</w:t>
      </w:r>
      <w:r w:rsidRPr="003869D9">
        <w:rPr>
          <w:rFonts w:ascii="Arial" w:hAnsi="Arial" w:cs="Arial"/>
          <w:sz w:val="20"/>
          <w:szCs w:val="20"/>
          <w:vertAlign w:val="superscript"/>
        </w:rPr>
        <w:t>-</w:t>
      </w:r>
      <w:r w:rsidRPr="003869D9">
        <w:rPr>
          <w:rFonts w:ascii="Arial" w:hAnsi="Arial" w:cs="Arial"/>
          <w:sz w:val="20"/>
          <w:szCs w:val="20"/>
        </w:rPr>
        <w:t>HEV</w:t>
      </w:r>
      <w:r w:rsidRPr="003869D9">
        <w:rPr>
          <w:rFonts w:ascii="Arial" w:hAnsi="Arial" w:cs="Arial"/>
          <w:sz w:val="20"/>
          <w:szCs w:val="20"/>
          <w:vertAlign w:val="superscript"/>
        </w:rPr>
        <w:t>-</w:t>
      </w:r>
      <w:r w:rsidRPr="003869D9">
        <w:rPr>
          <w:rFonts w:ascii="Arial" w:hAnsi="Arial" w:cs="Arial"/>
          <w:sz w:val="20"/>
          <w:szCs w:val="20"/>
        </w:rPr>
        <w:t>) (N=17) and Responder (Treg</w:t>
      </w:r>
      <w:r w:rsidRPr="003869D9">
        <w:rPr>
          <w:rFonts w:ascii="Arial" w:hAnsi="Arial" w:cs="Arial"/>
          <w:sz w:val="20"/>
          <w:szCs w:val="20"/>
          <w:vertAlign w:val="superscript"/>
        </w:rPr>
        <w:t>-</w:t>
      </w:r>
      <w:r w:rsidRPr="003869D9">
        <w:rPr>
          <w:rFonts w:ascii="Arial" w:hAnsi="Arial" w:cs="Arial"/>
          <w:sz w:val="20"/>
          <w:szCs w:val="20"/>
        </w:rPr>
        <w:t>HEV</w:t>
      </w:r>
      <w:r w:rsidRPr="003869D9">
        <w:rPr>
          <w:rFonts w:ascii="Arial" w:hAnsi="Arial" w:cs="Arial"/>
          <w:sz w:val="20"/>
          <w:szCs w:val="20"/>
          <w:vertAlign w:val="superscript"/>
        </w:rPr>
        <w:t>+</w:t>
      </w:r>
      <w:r w:rsidRPr="003869D9">
        <w:rPr>
          <w:rFonts w:ascii="Arial" w:hAnsi="Arial" w:cs="Arial"/>
          <w:sz w:val="20"/>
          <w:szCs w:val="20"/>
        </w:rPr>
        <w:t xml:space="preserve"> Foxp3</w:t>
      </w:r>
      <w:r w:rsidRPr="003869D9">
        <w:rPr>
          <w:rFonts w:ascii="Arial" w:hAnsi="Arial" w:cs="Arial"/>
          <w:sz w:val="20"/>
          <w:szCs w:val="20"/>
          <w:vertAlign w:val="superscript"/>
        </w:rPr>
        <w:t>DTR</w:t>
      </w:r>
      <w:r w:rsidRPr="003869D9">
        <w:rPr>
          <w:rFonts w:ascii="Arial" w:hAnsi="Arial" w:cs="Arial"/>
          <w:sz w:val="20"/>
          <w:szCs w:val="20"/>
        </w:rPr>
        <w:t>) (N=6) animals. Data are presented as individual data points (individual mice) in % of positive TNC pixels per mm</w:t>
      </w:r>
      <w:r w:rsidRPr="003869D9">
        <w:rPr>
          <w:rFonts w:ascii="Arial" w:hAnsi="Arial" w:cs="Arial"/>
          <w:sz w:val="20"/>
          <w:szCs w:val="20"/>
          <w:vertAlign w:val="superscript"/>
        </w:rPr>
        <w:t>2</w:t>
      </w:r>
      <w:r w:rsidRPr="003869D9">
        <w:rPr>
          <w:rFonts w:ascii="Arial" w:hAnsi="Arial" w:cs="Arial"/>
          <w:sz w:val="20"/>
          <w:szCs w:val="20"/>
        </w:rPr>
        <w:t xml:space="preserve"> of tumour tissue, plus mean and</w:t>
      </w:r>
      <w:r w:rsidR="003869D9" w:rsidRPr="003869D9">
        <w:rPr>
          <w:rFonts w:ascii="Arial" w:hAnsi="Arial" w:cs="Arial"/>
          <w:sz w:val="20"/>
          <w:szCs w:val="20"/>
        </w:rPr>
        <w:t xml:space="preserve"> </w:t>
      </w:r>
      <w:r w:rsidRPr="003869D9">
        <w:rPr>
          <w:rFonts w:ascii="Arial" w:hAnsi="Arial" w:cs="Arial"/>
          <w:sz w:val="20"/>
          <w:szCs w:val="20"/>
        </w:rPr>
        <w:t>standard error of the mean. Statistical significance was determined by Kruskal-Wallis test with Dunn's multiple comparison test.</w:t>
      </w:r>
    </w:p>
    <w:p w14:paraId="48DA067B" w14:textId="28E18B55" w:rsidR="00FF3047" w:rsidRDefault="00FF3047">
      <w:pPr>
        <w:rPr>
          <w:rFonts w:ascii="Arial" w:eastAsia="Times New Roman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page"/>
      </w:r>
    </w:p>
    <w:p w14:paraId="6FAB0635" w14:textId="582A02B7" w:rsidR="00FF3047" w:rsidRPr="003869D9" w:rsidRDefault="003869D9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lastRenderedPageBreak/>
        <w:t>Supplementary Figure 4</w:t>
      </w:r>
    </w:p>
    <w:p w14:paraId="1FDEFA6D" w14:textId="5A2497A2" w:rsidR="00C35491" w:rsidRPr="003869D9" w:rsidRDefault="00C35491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t>A</w:t>
      </w:r>
    </w:p>
    <w:p w14:paraId="1268DA37" w14:textId="04AAE66D" w:rsidR="0053141D" w:rsidRPr="009A22C9" w:rsidRDefault="0053141D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  <w:r w:rsidRPr="009A22C9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3596DC13" wp14:editId="1F6DE4AC">
            <wp:extent cx="4763262" cy="757263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 3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262" cy="757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6E7BD" w14:textId="0877FB12" w:rsidR="00C35491" w:rsidRDefault="00C35491">
      <w:pPr>
        <w:rPr>
          <w:rFonts w:ascii="Arial" w:eastAsia="Times New Roman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7DE790AA" w14:textId="37A5D3A0" w:rsidR="0053141D" w:rsidRPr="003869D9" w:rsidRDefault="00C35491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lastRenderedPageBreak/>
        <w:t>B</w:t>
      </w:r>
    </w:p>
    <w:p w14:paraId="1E4DDE96" w14:textId="2EB00310" w:rsidR="009A22C9" w:rsidRDefault="0053141D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  <w:r w:rsidRPr="009A22C9">
        <w:rPr>
          <w:rFonts w:ascii="Arial" w:hAnsi="Arial" w:cs="Arial"/>
          <w:b/>
          <w:bCs/>
          <w:noProof/>
          <w:sz w:val="22"/>
          <w:szCs w:val="22"/>
        </w:rPr>
        <w:drawing>
          <wp:inline distT="0" distB="0" distL="0" distR="0" wp14:anchorId="5BDCF40E" wp14:editId="47EA60EA">
            <wp:extent cx="4939688" cy="7853118"/>
            <wp:effectExtent l="0" t="0" r="635" b="0"/>
            <wp:docPr id="12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7DA4D663-0AB5-4EE2-9AD3-5F0777B977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7DA4D663-0AB5-4EE2-9AD3-5F0777B977B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688" cy="7853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9A3CE" w14:textId="31725232" w:rsidR="00C35491" w:rsidRDefault="00C35491">
      <w:pPr>
        <w:rPr>
          <w:rFonts w:ascii="Arial" w:eastAsia="Times New Roman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09C80E0A" w14:textId="5ACF4480" w:rsidR="009A22C9" w:rsidRPr="003869D9" w:rsidRDefault="00C35491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lastRenderedPageBreak/>
        <w:t>C</w:t>
      </w:r>
    </w:p>
    <w:p w14:paraId="25BABE28" w14:textId="77777777" w:rsidR="0053141D" w:rsidRPr="009A22C9" w:rsidRDefault="0053141D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  <w:r w:rsidRPr="009A22C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78A7A009" wp14:editId="5B7DC894">
            <wp:extent cx="4953365" cy="7874861"/>
            <wp:effectExtent l="0" t="0" r="0" b="0"/>
            <wp:docPr id="13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42A97C4-5EC7-48AF-9877-BDC14B3E9E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close up of a map&#10;&#10;Description automatically generated">
                      <a:extLst>
                        <a:ext uri="{FF2B5EF4-FFF2-40B4-BE49-F238E27FC236}">
                          <a16:creationId xmlns:a16="http://schemas.microsoft.com/office/drawing/2014/main" id="{042A97C4-5EC7-48AF-9877-BDC14B3E9E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365" cy="787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726D8" w14:textId="77777777" w:rsidR="003869D9" w:rsidRDefault="003869D9" w:rsidP="00C35491">
      <w:pPr>
        <w:pStyle w:val="Paragraph"/>
        <w:spacing w:before="0" w:after="120" w:line="276" w:lineRule="auto"/>
        <w:ind w:firstLine="0"/>
        <w:jc w:val="both"/>
        <w:rPr>
          <w:rFonts w:ascii="Arial" w:hAnsi="Arial" w:cs="Arial"/>
          <w:b/>
          <w:bCs/>
          <w:sz w:val="22"/>
          <w:szCs w:val="22"/>
        </w:rPr>
      </w:pPr>
    </w:p>
    <w:p w14:paraId="215ABB5C" w14:textId="77777777" w:rsidR="003869D9" w:rsidRDefault="003869D9" w:rsidP="00C35491">
      <w:pPr>
        <w:pStyle w:val="Paragraph"/>
        <w:spacing w:before="0" w:after="120" w:line="276" w:lineRule="auto"/>
        <w:ind w:firstLine="0"/>
        <w:jc w:val="both"/>
        <w:rPr>
          <w:rFonts w:ascii="Arial" w:hAnsi="Arial" w:cs="Arial"/>
          <w:b/>
          <w:bCs/>
          <w:sz w:val="22"/>
          <w:szCs w:val="22"/>
        </w:rPr>
      </w:pPr>
    </w:p>
    <w:p w14:paraId="1D6A6421" w14:textId="3DB9F0E1" w:rsidR="00DA2E24" w:rsidRPr="003869D9" w:rsidRDefault="00C35491" w:rsidP="00C35491">
      <w:pPr>
        <w:pStyle w:val="Paragraph"/>
        <w:spacing w:before="0" w:after="120" w:line="276" w:lineRule="auto"/>
        <w:ind w:firstLine="0"/>
        <w:jc w:val="both"/>
        <w:rPr>
          <w:rFonts w:ascii="Arial" w:hAnsi="Arial" w:cs="Arial"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lastRenderedPageBreak/>
        <w:t>Fig. S4.</w:t>
      </w:r>
      <w:r w:rsidRPr="003869D9">
        <w:rPr>
          <w:rFonts w:ascii="Arial" w:hAnsi="Arial" w:cs="Arial"/>
          <w:sz w:val="20"/>
          <w:szCs w:val="20"/>
        </w:rPr>
        <w:t xml:space="preserve"> </w:t>
      </w:r>
      <w:r w:rsidRPr="003869D9">
        <w:rPr>
          <w:rFonts w:ascii="Arial" w:hAnsi="Arial" w:cs="Arial"/>
          <w:b/>
          <w:bCs/>
          <w:sz w:val="20"/>
          <w:szCs w:val="20"/>
        </w:rPr>
        <w:t>A,</w:t>
      </w:r>
      <w:r w:rsidRPr="003869D9">
        <w:rPr>
          <w:rFonts w:ascii="Arial" w:hAnsi="Arial" w:cs="Arial"/>
          <w:sz w:val="20"/>
          <w:szCs w:val="20"/>
        </w:rPr>
        <w:t xml:space="preserve"> Individual data for each cancer corresponding to Figure 2A. Cancers were </w:t>
      </w:r>
      <w:r w:rsidR="002714AB" w:rsidRPr="003869D9">
        <w:rPr>
          <w:rFonts w:ascii="Arial" w:hAnsi="Arial" w:cs="Arial"/>
          <w:sz w:val="20"/>
          <w:szCs w:val="20"/>
        </w:rPr>
        <w:t>not included in subsequent analyses</w:t>
      </w:r>
      <w:r w:rsidRPr="003869D9">
        <w:rPr>
          <w:rFonts w:ascii="Arial" w:hAnsi="Arial" w:cs="Arial"/>
          <w:sz w:val="20"/>
          <w:szCs w:val="20"/>
        </w:rPr>
        <w:t xml:space="preserve"> if survival did not correlate with expression of the CTL gene signature</w:t>
      </w:r>
      <w:r w:rsidR="002714AB" w:rsidRPr="003869D9">
        <w:rPr>
          <w:rFonts w:ascii="Arial" w:hAnsi="Arial" w:cs="Arial"/>
          <w:sz w:val="20"/>
          <w:szCs w:val="20"/>
        </w:rPr>
        <w:t xml:space="preserve"> (indicated as *</w:t>
      </w:r>
      <w:r w:rsidR="00202184" w:rsidRPr="003869D9">
        <w:rPr>
          <w:rFonts w:ascii="Arial" w:hAnsi="Arial" w:cs="Arial"/>
          <w:sz w:val="20"/>
          <w:szCs w:val="20"/>
        </w:rPr>
        <w:t>R</w:t>
      </w:r>
      <w:r w:rsidR="002714AB" w:rsidRPr="003869D9">
        <w:rPr>
          <w:rFonts w:ascii="Arial" w:hAnsi="Arial" w:cs="Arial"/>
          <w:sz w:val="20"/>
          <w:szCs w:val="20"/>
        </w:rPr>
        <w:t>emoved in red text on each graph)</w:t>
      </w:r>
      <w:r w:rsidRPr="003869D9">
        <w:rPr>
          <w:rFonts w:ascii="Arial" w:hAnsi="Arial" w:cs="Arial"/>
          <w:sz w:val="20"/>
          <w:szCs w:val="20"/>
        </w:rPr>
        <w:t>. Only cancers which</w:t>
      </w:r>
      <w:r w:rsidR="000203E3" w:rsidRPr="003869D9">
        <w:rPr>
          <w:rFonts w:ascii="Arial" w:hAnsi="Arial" w:cs="Arial"/>
          <w:sz w:val="20"/>
          <w:szCs w:val="20"/>
        </w:rPr>
        <w:t xml:space="preserve"> showed a trend of </w:t>
      </w:r>
      <w:r w:rsidR="003133AF" w:rsidRPr="003869D9">
        <w:rPr>
          <w:rFonts w:ascii="Arial" w:hAnsi="Arial" w:cs="Arial"/>
          <w:sz w:val="20"/>
          <w:szCs w:val="20"/>
        </w:rPr>
        <w:t xml:space="preserve">better </w:t>
      </w:r>
      <w:r w:rsidR="000203E3" w:rsidRPr="003869D9">
        <w:rPr>
          <w:rFonts w:ascii="Arial" w:hAnsi="Arial" w:cs="Arial"/>
          <w:sz w:val="20"/>
          <w:szCs w:val="20"/>
        </w:rPr>
        <w:t xml:space="preserve">survival in the CTL-High tumors </w:t>
      </w:r>
      <w:r w:rsidRPr="003869D9">
        <w:rPr>
          <w:rFonts w:ascii="Arial" w:hAnsi="Arial" w:cs="Arial"/>
          <w:sz w:val="20"/>
          <w:szCs w:val="20"/>
        </w:rPr>
        <w:t>were included in the analysis shown in Fig. 2A</w:t>
      </w:r>
      <w:r w:rsidR="0049092B" w:rsidRPr="003869D9">
        <w:rPr>
          <w:rFonts w:ascii="Arial" w:hAnsi="Arial" w:cs="Arial"/>
          <w:sz w:val="20"/>
          <w:szCs w:val="20"/>
        </w:rPr>
        <w:t xml:space="preserve"> and Fig. S4B-C</w:t>
      </w:r>
      <w:r w:rsidRPr="003869D9">
        <w:rPr>
          <w:rFonts w:ascii="Arial" w:hAnsi="Arial" w:cs="Arial"/>
          <w:sz w:val="20"/>
          <w:szCs w:val="20"/>
        </w:rPr>
        <w:t xml:space="preserve">. </w:t>
      </w:r>
      <w:r w:rsidRPr="003869D9">
        <w:rPr>
          <w:rFonts w:ascii="Arial" w:hAnsi="Arial" w:cs="Arial"/>
          <w:b/>
          <w:bCs/>
          <w:sz w:val="20"/>
          <w:szCs w:val="20"/>
        </w:rPr>
        <w:t>B,</w:t>
      </w:r>
      <w:r w:rsidRPr="003869D9">
        <w:rPr>
          <w:rFonts w:ascii="Arial" w:hAnsi="Arial" w:cs="Arial"/>
          <w:sz w:val="20"/>
          <w:szCs w:val="20"/>
        </w:rPr>
        <w:t xml:space="preserve"> Individual data for each cancer corresponding to Fig. 2B. Each group corresponds the orange CTL-High line in Fig. S4A. </w:t>
      </w:r>
      <w:r w:rsidRPr="003869D9">
        <w:rPr>
          <w:rFonts w:ascii="Arial" w:hAnsi="Arial" w:cs="Arial"/>
          <w:b/>
          <w:bCs/>
          <w:sz w:val="20"/>
          <w:szCs w:val="20"/>
        </w:rPr>
        <w:t>C,</w:t>
      </w:r>
      <w:r w:rsidRPr="003869D9">
        <w:rPr>
          <w:rFonts w:ascii="Arial" w:hAnsi="Arial" w:cs="Arial"/>
          <w:sz w:val="20"/>
          <w:szCs w:val="20"/>
        </w:rPr>
        <w:t xml:space="preserve"> </w:t>
      </w:r>
      <w:r w:rsidR="0053141D" w:rsidRPr="003869D9">
        <w:rPr>
          <w:rFonts w:ascii="Arial" w:hAnsi="Arial" w:cs="Arial"/>
          <w:sz w:val="20"/>
          <w:szCs w:val="20"/>
        </w:rPr>
        <w:t>Individual data for each cancer corresponding to Fig</w:t>
      </w:r>
      <w:r w:rsidR="009A22C9" w:rsidRPr="003869D9">
        <w:rPr>
          <w:rFonts w:ascii="Arial" w:hAnsi="Arial" w:cs="Arial"/>
          <w:sz w:val="20"/>
          <w:szCs w:val="20"/>
        </w:rPr>
        <w:t>.</w:t>
      </w:r>
      <w:r w:rsidR="0053141D" w:rsidRPr="003869D9">
        <w:rPr>
          <w:rFonts w:ascii="Arial" w:hAnsi="Arial" w:cs="Arial"/>
          <w:sz w:val="20"/>
          <w:szCs w:val="20"/>
        </w:rPr>
        <w:t xml:space="preserve"> 2C. Each group corresponds the green CTL-Low line in Fig</w:t>
      </w:r>
      <w:r w:rsidR="009A22C9" w:rsidRPr="003869D9">
        <w:rPr>
          <w:rFonts w:ascii="Arial" w:hAnsi="Arial" w:cs="Arial"/>
          <w:sz w:val="20"/>
          <w:szCs w:val="20"/>
        </w:rPr>
        <w:t>.</w:t>
      </w:r>
      <w:r w:rsidR="0053141D" w:rsidRPr="003869D9">
        <w:rPr>
          <w:rFonts w:ascii="Arial" w:hAnsi="Arial" w:cs="Arial"/>
          <w:sz w:val="20"/>
          <w:szCs w:val="20"/>
        </w:rPr>
        <w:t xml:space="preserve"> </w:t>
      </w:r>
      <w:r w:rsidR="009A22C9" w:rsidRPr="003869D9">
        <w:rPr>
          <w:rFonts w:ascii="Arial" w:hAnsi="Arial" w:cs="Arial"/>
          <w:sz w:val="20"/>
          <w:szCs w:val="20"/>
        </w:rPr>
        <w:t>S</w:t>
      </w:r>
      <w:r w:rsidRPr="003869D9">
        <w:rPr>
          <w:rFonts w:ascii="Arial" w:hAnsi="Arial" w:cs="Arial"/>
          <w:sz w:val="20"/>
          <w:szCs w:val="20"/>
        </w:rPr>
        <w:t>4A</w:t>
      </w:r>
      <w:r w:rsidR="0053141D" w:rsidRPr="003869D9">
        <w:rPr>
          <w:rFonts w:ascii="Arial" w:hAnsi="Arial" w:cs="Arial"/>
          <w:sz w:val="20"/>
          <w:szCs w:val="20"/>
        </w:rPr>
        <w:t>.</w:t>
      </w:r>
      <w:r w:rsidR="00CC47D1" w:rsidRPr="003869D9">
        <w:rPr>
          <w:rFonts w:ascii="Arial" w:hAnsi="Arial" w:cs="Arial"/>
          <w:sz w:val="20"/>
          <w:szCs w:val="20"/>
        </w:rPr>
        <w:t xml:space="preserve"> </w:t>
      </w:r>
    </w:p>
    <w:p w14:paraId="081DC87F" w14:textId="5954987A" w:rsidR="0053141D" w:rsidRPr="003869D9" w:rsidRDefault="00CC47D1" w:rsidP="00C35491">
      <w:pPr>
        <w:pStyle w:val="Paragraph"/>
        <w:spacing w:before="0" w:after="120" w:line="276" w:lineRule="auto"/>
        <w:ind w:firstLine="0"/>
        <w:jc w:val="both"/>
        <w:rPr>
          <w:rFonts w:ascii="Arial" w:hAnsi="Arial" w:cs="Arial"/>
          <w:sz w:val="20"/>
          <w:szCs w:val="20"/>
        </w:rPr>
      </w:pPr>
      <w:r w:rsidRPr="003869D9">
        <w:rPr>
          <w:rFonts w:ascii="Arial" w:hAnsi="Arial" w:cs="Arial"/>
          <w:sz w:val="20"/>
          <w:szCs w:val="20"/>
        </w:rPr>
        <w:t>TCGA study abbreviations</w:t>
      </w:r>
      <w:r w:rsidR="000F020E" w:rsidRPr="003869D9">
        <w:rPr>
          <w:rFonts w:ascii="Arial" w:hAnsi="Arial" w:cs="Arial"/>
          <w:sz w:val="20"/>
          <w:szCs w:val="20"/>
        </w:rPr>
        <w:t xml:space="preserve">: BLCA, Bladder Urothelial Carcinoma; BRCA, Breast invasive carcinoma; CESC, Cervical squamous cell carcinoma and endocervical adenocarcinoma; COAD, Colon adenocarcinoma; HNSC, Head and Neck squamous cell carcinoma; KIRC, Kidney renal clear cell carcinoma; KIRP, Kidney renal papillary cell carcinoma; LGG, Brain Lower Grade Glioma; LIHC, Liver hepatocellular carcinoma; </w:t>
      </w:r>
      <w:r w:rsidR="00216095" w:rsidRPr="003869D9">
        <w:rPr>
          <w:rFonts w:ascii="Arial" w:hAnsi="Arial" w:cs="Arial"/>
          <w:sz w:val="20"/>
          <w:szCs w:val="20"/>
        </w:rPr>
        <w:t>LUAD, Lung adenocarcinoma; LUSC, Lung squamous cell carcinoma; OV, Ovarian serous cystadenocarcinoma; PAAD, Pancreatic adenocarcinoma; PCPG, Pheochromocytoma and Paraganglioma; PRAD, Prostate adenocarcinoma; READ, Rectum adenocarcinoma; SARC, Sarcoma; SKCM, Skin Cutaneous Melanoma; STAD, Stomach adenocarcinoma; THCA, Thyroid carcinoma; UCEC, Uterine Corpus Endometrial Carcinoma.</w:t>
      </w:r>
    </w:p>
    <w:p w14:paraId="6BEE4468" w14:textId="30D2872C" w:rsidR="003869D9" w:rsidRDefault="003869D9">
      <w:pPr>
        <w:rPr>
          <w:rFonts w:ascii="Arial" w:eastAsia="Times New Roman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17987928" w14:textId="47E15607" w:rsidR="000E6B8A" w:rsidRPr="003869D9" w:rsidRDefault="003869D9" w:rsidP="00C35491">
      <w:pPr>
        <w:pStyle w:val="Paragraph"/>
        <w:spacing w:before="0" w:after="120" w:line="276" w:lineRule="auto"/>
        <w:ind w:firstLine="0"/>
        <w:jc w:val="both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lastRenderedPageBreak/>
        <w:t>Supplementary Figure 5</w:t>
      </w:r>
    </w:p>
    <w:p w14:paraId="6FA551D6" w14:textId="77777777" w:rsidR="00E7521F" w:rsidRDefault="00E7521F" w:rsidP="00E7521F">
      <w:pPr>
        <w:spacing w:line="360" w:lineRule="auto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</w:rPr>
        <w:drawing>
          <wp:inline distT="0" distB="0" distL="0" distR="0" wp14:anchorId="5F9B8946" wp14:editId="5EC2741B">
            <wp:extent cx="5435936" cy="437526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 6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5936" cy="437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EB751" w14:textId="1544D6EF" w:rsidR="00E7521F" w:rsidRPr="00E7521F" w:rsidRDefault="00E7521F" w:rsidP="00E7521F">
      <w:pPr>
        <w:spacing w:line="360" w:lineRule="auto"/>
        <w:jc w:val="both"/>
        <w:rPr>
          <w:rFonts w:ascii="Arial" w:hAnsi="Arial" w:cs="Arial"/>
          <w:b/>
          <w:bCs/>
          <w:i/>
          <w:iCs/>
          <w:color w:val="000000" w:themeColor="text1"/>
        </w:rPr>
      </w:pPr>
      <w:r w:rsidRPr="000E6B8A">
        <w:rPr>
          <w:rFonts w:ascii="Arial" w:hAnsi="Arial" w:cs="Arial"/>
          <w:b/>
          <w:bCs/>
          <w:color w:val="000000" w:themeColor="text1"/>
        </w:rPr>
        <w:t>Fig. S</w:t>
      </w:r>
      <w:r w:rsidR="000E6B8A" w:rsidRPr="000E6B8A">
        <w:rPr>
          <w:rFonts w:ascii="Arial" w:hAnsi="Arial" w:cs="Arial"/>
          <w:b/>
          <w:bCs/>
          <w:color w:val="000000" w:themeColor="text1"/>
        </w:rPr>
        <w:t>5</w:t>
      </w:r>
      <w:r w:rsidRPr="000E6B8A">
        <w:rPr>
          <w:rFonts w:ascii="Arial" w:hAnsi="Arial" w:cs="Arial"/>
          <w:b/>
          <w:bCs/>
          <w:color w:val="000000" w:themeColor="text1"/>
        </w:rPr>
        <w:t>.</w:t>
      </w:r>
      <w:r w:rsidRPr="000E6B8A">
        <w:rPr>
          <w:rFonts w:ascii="Arial" w:hAnsi="Arial" w:cs="Arial"/>
          <w:b/>
          <w:bCs/>
          <w:i/>
          <w:iCs/>
          <w:color w:val="000000" w:themeColor="text1"/>
        </w:rPr>
        <w:t xml:space="preserve"> </w:t>
      </w:r>
      <w:r w:rsidRPr="000E6B8A">
        <w:rPr>
          <w:rFonts w:ascii="Arial" w:hAnsi="Arial" w:cs="Arial"/>
          <w:color w:val="000000" w:themeColor="text1"/>
        </w:rPr>
        <w:t>Analysis</w:t>
      </w:r>
      <w:r w:rsidRPr="00651C03">
        <w:rPr>
          <w:rFonts w:ascii="Arial" w:hAnsi="Arial" w:cs="Arial"/>
          <w:color w:val="000000" w:themeColor="text1"/>
        </w:rPr>
        <w:t xml:space="preserve"> is the same as that performed in </w:t>
      </w:r>
      <w:r>
        <w:rPr>
          <w:rFonts w:ascii="Arial" w:hAnsi="Arial" w:cs="Arial"/>
          <w:color w:val="000000" w:themeColor="text1"/>
        </w:rPr>
        <w:t>Fig.</w:t>
      </w:r>
      <w:r w:rsidRPr="00651C03">
        <w:rPr>
          <w:rFonts w:ascii="Arial" w:hAnsi="Arial" w:cs="Arial"/>
          <w:color w:val="000000" w:themeColor="text1"/>
        </w:rPr>
        <w:t xml:space="preserve"> 2, however with reversed order. </w:t>
      </w:r>
      <w:r w:rsidRPr="00651C03">
        <w:rPr>
          <w:rFonts w:ascii="Arial" w:hAnsi="Arial" w:cs="Arial"/>
          <w:b/>
          <w:bCs/>
          <w:color w:val="000000" w:themeColor="text1"/>
        </w:rPr>
        <w:t>A</w:t>
      </w:r>
      <w:r w:rsidRPr="00651C03">
        <w:rPr>
          <w:rFonts w:ascii="Arial" w:hAnsi="Arial" w:cs="Arial"/>
          <w:color w:val="000000" w:themeColor="text1"/>
        </w:rPr>
        <w:t xml:space="preserve">, KM analysis of patients clustered (within each cancer) by relative expression of TNC, followed by clustering of </w:t>
      </w:r>
      <w:r w:rsidRPr="00651C03">
        <w:rPr>
          <w:rFonts w:ascii="Arial" w:hAnsi="Arial" w:cs="Arial"/>
          <w:b/>
          <w:bCs/>
          <w:color w:val="000000" w:themeColor="text1"/>
        </w:rPr>
        <w:t>B</w:t>
      </w:r>
      <w:r w:rsidRPr="00651C03">
        <w:rPr>
          <w:rFonts w:ascii="Arial" w:hAnsi="Arial" w:cs="Arial"/>
          <w:color w:val="000000" w:themeColor="text1"/>
        </w:rPr>
        <w:t xml:space="preserve">, TNC-High and </w:t>
      </w:r>
      <w:r w:rsidRPr="00651C03">
        <w:rPr>
          <w:rFonts w:ascii="Arial" w:hAnsi="Arial" w:cs="Arial"/>
          <w:b/>
          <w:bCs/>
          <w:color w:val="000000" w:themeColor="text1"/>
        </w:rPr>
        <w:t>C</w:t>
      </w:r>
      <w:r w:rsidRPr="00651C03">
        <w:rPr>
          <w:rFonts w:ascii="Arial" w:hAnsi="Arial" w:cs="Arial"/>
          <w:color w:val="000000" w:themeColor="text1"/>
        </w:rPr>
        <w:t>, TNC-Low primary tumour groups by the expression of a CTL gene signature.</w:t>
      </w:r>
    </w:p>
    <w:p w14:paraId="0EC67C90" w14:textId="726FFADA" w:rsidR="003869D9" w:rsidRDefault="003869D9">
      <w:pPr>
        <w:rPr>
          <w:rFonts w:ascii="Arial" w:eastAsia="Times New Roman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14:paraId="4CF76B44" w14:textId="77777777" w:rsidR="00E7521F" w:rsidRPr="003869D9" w:rsidRDefault="00E7521F" w:rsidP="009A22C9">
      <w:pPr>
        <w:pStyle w:val="Paragraph"/>
        <w:spacing w:before="0" w:after="120" w:line="276" w:lineRule="auto"/>
        <w:ind w:firstLine="0"/>
        <w:rPr>
          <w:rFonts w:ascii="Arial" w:hAnsi="Arial" w:cs="Arial"/>
          <w:b/>
          <w:bCs/>
          <w:sz w:val="22"/>
          <w:szCs w:val="22"/>
        </w:rPr>
      </w:pPr>
    </w:p>
    <w:p w14:paraId="79A159F2" w14:textId="4D834C74" w:rsidR="0053141D" w:rsidRPr="003869D9" w:rsidRDefault="003869D9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t>Supplementary Figure 6</w:t>
      </w:r>
    </w:p>
    <w:p w14:paraId="3E048064" w14:textId="77777777" w:rsidR="0053141D" w:rsidRPr="009A22C9" w:rsidRDefault="0053141D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  <w:r w:rsidRPr="009A22C9">
        <w:rPr>
          <w:rFonts w:ascii="Arial" w:hAnsi="Arial" w:cs="Arial"/>
          <w:b/>
          <w:noProof/>
          <w:sz w:val="22"/>
          <w:szCs w:val="22"/>
        </w:rPr>
        <w:drawing>
          <wp:inline distT="0" distB="0" distL="0" distR="0" wp14:anchorId="6D64A768" wp14:editId="497744A8">
            <wp:extent cx="5727700" cy="3670300"/>
            <wp:effectExtent l="0" t="0" r="0" b="0"/>
            <wp:docPr id="14" name="Picture 14" descr="A picture containing tree, photo,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 Fig 1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E5052" w14:textId="38C8263D" w:rsidR="0053141D" w:rsidRPr="003869D9" w:rsidRDefault="0053141D" w:rsidP="009A22C9">
      <w:pPr>
        <w:pStyle w:val="Paragraph"/>
        <w:spacing w:before="0" w:after="120" w:line="276" w:lineRule="auto"/>
        <w:ind w:firstLine="0"/>
        <w:rPr>
          <w:rFonts w:ascii="Arial" w:hAnsi="Arial" w:cs="Arial"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t>Fig. S</w:t>
      </w:r>
      <w:r w:rsidR="000E6B8A" w:rsidRPr="003869D9">
        <w:rPr>
          <w:rFonts w:ascii="Arial" w:hAnsi="Arial" w:cs="Arial"/>
          <w:b/>
          <w:bCs/>
          <w:sz w:val="20"/>
          <w:szCs w:val="20"/>
        </w:rPr>
        <w:t>6</w:t>
      </w:r>
      <w:r w:rsidRPr="003869D9">
        <w:rPr>
          <w:rFonts w:ascii="Arial" w:hAnsi="Arial" w:cs="Arial"/>
          <w:b/>
          <w:bCs/>
          <w:sz w:val="20"/>
          <w:szCs w:val="20"/>
        </w:rPr>
        <w:t>.</w:t>
      </w:r>
      <w:r w:rsidRPr="003869D9">
        <w:rPr>
          <w:rFonts w:ascii="Arial" w:hAnsi="Arial" w:cs="Arial"/>
          <w:sz w:val="20"/>
          <w:szCs w:val="20"/>
        </w:rPr>
        <w:t xml:space="preserve"> Definition of TNC high and low areas. </w:t>
      </w:r>
      <w:proofErr w:type="spellStart"/>
      <w:r w:rsidRPr="003869D9">
        <w:rPr>
          <w:rFonts w:ascii="Arial" w:hAnsi="Arial" w:cs="Arial"/>
          <w:sz w:val="20"/>
          <w:szCs w:val="20"/>
        </w:rPr>
        <w:t>Tumours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were individually observed and areas with high or low concentrations of TNC (green) were defined for further analysis, such as T-cell counts.</w:t>
      </w:r>
    </w:p>
    <w:p w14:paraId="0EC2BE3E" w14:textId="77777777" w:rsidR="00317CF6" w:rsidRDefault="00317CF6" w:rsidP="00317CF6">
      <w:pPr>
        <w:rPr>
          <w:rFonts w:ascii="Arial" w:hAnsi="Arial" w:cs="Arial"/>
        </w:rPr>
      </w:pPr>
    </w:p>
    <w:p w14:paraId="54448D2C" w14:textId="77777777" w:rsidR="00317CF6" w:rsidRDefault="00317CF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A47164A" w14:textId="6008FFA7" w:rsidR="003869D9" w:rsidRPr="00317CF6" w:rsidRDefault="003869D9" w:rsidP="00317CF6">
      <w:pPr>
        <w:rPr>
          <w:rFonts w:ascii="Arial" w:eastAsia="Times New Roman" w:hAnsi="Arial" w:cs="Arial"/>
        </w:rPr>
      </w:pPr>
      <w:r w:rsidRPr="003869D9">
        <w:rPr>
          <w:rFonts w:ascii="Arial" w:hAnsi="Arial" w:cs="Arial"/>
          <w:b/>
          <w:bCs/>
        </w:rPr>
        <w:lastRenderedPageBreak/>
        <w:t>Supplementary Figure 7</w:t>
      </w:r>
    </w:p>
    <w:p w14:paraId="26A16F68" w14:textId="3BC1A077" w:rsidR="0053141D" w:rsidRPr="002A5394" w:rsidRDefault="0053141D" w:rsidP="002A5394">
      <w:pPr>
        <w:rPr>
          <w:rFonts w:ascii="Arial" w:eastAsia="Times New Roman" w:hAnsi="Arial" w:cs="Arial"/>
          <w:sz w:val="22"/>
          <w:szCs w:val="22"/>
        </w:rPr>
      </w:pPr>
    </w:p>
    <w:p w14:paraId="497D8ADC" w14:textId="77777777" w:rsidR="00205333" w:rsidRDefault="00205333" w:rsidP="00205333">
      <w:pPr>
        <w:pStyle w:val="NormalWeb"/>
        <w:spacing w:before="0" w:beforeAutospacing="0" w:after="0" w:afterAutospacing="0" w:line="360" w:lineRule="auto"/>
        <w:rPr>
          <w:rFonts w:ascii="Calibri" w:hAnsi="Calibri" w:cs="Calibri"/>
          <w:sz w:val="22"/>
          <w:szCs w:val="22"/>
        </w:rPr>
      </w:pPr>
      <w:r>
        <w:rPr>
          <w:rFonts w:ascii="Arial" w:hAnsi="Arial" w:cs="Arial"/>
          <w:b/>
          <w:bCs/>
          <w:i/>
          <w:iCs/>
          <w:noProof/>
        </w:rPr>
        <w:drawing>
          <wp:inline distT="0" distB="0" distL="0" distR="0" wp14:anchorId="23368FC2" wp14:editId="7F35DD84">
            <wp:extent cx="4319081" cy="2052282"/>
            <wp:effectExtent l="0" t="0" r="0" b="5715"/>
            <wp:docPr id="1" name="Picture 1" descr="A picture containing light, traffic, road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631" cy="206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AF982" w14:textId="77777777" w:rsidR="003869D9" w:rsidRDefault="003869D9" w:rsidP="00205333">
      <w:pPr>
        <w:jc w:val="both"/>
        <w:rPr>
          <w:rFonts w:ascii="Arial" w:hAnsi="Arial" w:cs="Arial"/>
          <w:b/>
          <w:bCs/>
        </w:rPr>
      </w:pPr>
    </w:p>
    <w:p w14:paraId="70450751" w14:textId="6A50A446" w:rsidR="00205333" w:rsidRPr="003869D9" w:rsidRDefault="00205333" w:rsidP="00205333">
      <w:pPr>
        <w:jc w:val="both"/>
        <w:rPr>
          <w:rFonts w:ascii="Arial" w:eastAsia="Times New Roman" w:hAnsi="Arial" w:cs="Arial"/>
        </w:rPr>
      </w:pPr>
      <w:r w:rsidRPr="003869D9">
        <w:rPr>
          <w:rFonts w:ascii="Arial" w:hAnsi="Arial" w:cs="Arial"/>
          <w:b/>
          <w:bCs/>
        </w:rPr>
        <w:t>Fig. S</w:t>
      </w:r>
      <w:r w:rsidR="000E6B8A" w:rsidRPr="003869D9">
        <w:rPr>
          <w:rFonts w:ascii="Arial" w:hAnsi="Arial" w:cs="Arial"/>
          <w:b/>
          <w:bCs/>
        </w:rPr>
        <w:t>7</w:t>
      </w:r>
      <w:r w:rsidRPr="003869D9">
        <w:rPr>
          <w:rFonts w:ascii="Arial" w:hAnsi="Arial" w:cs="Arial"/>
          <w:b/>
          <w:bCs/>
        </w:rPr>
        <w:t xml:space="preserve">. </w:t>
      </w:r>
      <w:r w:rsidRPr="003869D9">
        <w:rPr>
          <w:rFonts w:ascii="Arial" w:eastAsia="Times New Roman" w:hAnsi="Arial" w:cs="Arial"/>
        </w:rPr>
        <w:t>Number of intratumoural CD3</w:t>
      </w:r>
      <w:r w:rsidRPr="003869D9">
        <w:rPr>
          <w:rFonts w:ascii="Arial" w:eastAsia="Times New Roman" w:hAnsi="Arial" w:cs="Arial"/>
          <w:vertAlign w:val="superscript"/>
        </w:rPr>
        <w:t>+</w:t>
      </w:r>
      <w:r w:rsidRPr="003869D9">
        <w:rPr>
          <w:rFonts w:ascii="Arial" w:eastAsia="Times New Roman" w:hAnsi="Arial" w:cs="Arial"/>
        </w:rPr>
        <w:t xml:space="preserve"> cells in </w:t>
      </w:r>
      <w:proofErr w:type="spellStart"/>
      <w:r w:rsidRPr="003869D9">
        <w:rPr>
          <w:rFonts w:ascii="Arial" w:eastAsia="Times New Roman" w:hAnsi="Arial" w:cs="Arial"/>
        </w:rPr>
        <w:t>shScr</w:t>
      </w:r>
      <w:proofErr w:type="spellEnd"/>
      <w:r w:rsidRPr="003869D9">
        <w:rPr>
          <w:rFonts w:ascii="Arial" w:eastAsia="Times New Roman" w:hAnsi="Arial" w:cs="Arial"/>
        </w:rPr>
        <w:t xml:space="preserve"> and </w:t>
      </w:r>
      <w:proofErr w:type="spellStart"/>
      <w:r w:rsidRPr="003869D9">
        <w:rPr>
          <w:rFonts w:ascii="Arial" w:eastAsia="Times New Roman" w:hAnsi="Arial" w:cs="Arial"/>
        </w:rPr>
        <w:t>shTNC</w:t>
      </w:r>
      <w:proofErr w:type="spellEnd"/>
      <w:r w:rsidRPr="003869D9">
        <w:rPr>
          <w:rFonts w:ascii="Arial" w:eastAsia="Times New Roman" w:hAnsi="Arial" w:cs="Arial"/>
        </w:rPr>
        <w:t xml:space="preserve"> </w:t>
      </w:r>
      <w:proofErr w:type="spellStart"/>
      <w:r w:rsidRPr="003869D9">
        <w:rPr>
          <w:rFonts w:ascii="Arial" w:eastAsia="Times New Roman" w:hAnsi="Arial" w:cs="Arial"/>
        </w:rPr>
        <w:t>tumours</w:t>
      </w:r>
      <w:proofErr w:type="spellEnd"/>
      <w:r w:rsidRPr="003869D9">
        <w:rPr>
          <w:rFonts w:ascii="Arial" w:eastAsia="Times New Roman" w:hAnsi="Arial" w:cs="Arial"/>
        </w:rPr>
        <w:t xml:space="preserve"> of Foxp3</w:t>
      </w:r>
      <w:r w:rsidRPr="003869D9">
        <w:rPr>
          <w:rFonts w:ascii="Arial" w:eastAsia="Times New Roman" w:hAnsi="Arial" w:cs="Arial"/>
          <w:vertAlign w:val="superscript"/>
        </w:rPr>
        <w:t>DTR</w:t>
      </w:r>
      <w:r w:rsidRPr="003869D9">
        <w:rPr>
          <w:rFonts w:ascii="Arial" w:eastAsia="Times New Roman" w:hAnsi="Arial" w:cs="Arial"/>
        </w:rPr>
        <w:t xml:space="preserve"> animals, untreated or Treg depleted. Data are presented as individual data points (individual mice) plus mean and standard error of the mean. Statistical significance was determined with Mann-Whitney test, which revealed no statistical difference between groups.</w:t>
      </w:r>
    </w:p>
    <w:p w14:paraId="3AE03C55" w14:textId="47776989" w:rsidR="002A5394" w:rsidRDefault="002A5394" w:rsidP="002A5394">
      <w:pPr>
        <w:pStyle w:val="Paragraph"/>
        <w:spacing w:before="0" w:after="120"/>
        <w:ind w:firstLine="0"/>
        <w:jc w:val="both"/>
        <w:rPr>
          <w:rFonts w:ascii="Arial" w:hAnsi="Arial" w:cs="Arial"/>
          <w:sz w:val="22"/>
          <w:szCs w:val="22"/>
        </w:rPr>
      </w:pPr>
    </w:p>
    <w:p w14:paraId="4B1892BF" w14:textId="08C28B66" w:rsidR="002A5394" w:rsidRDefault="002A5394" w:rsidP="002A5394">
      <w:pPr>
        <w:pStyle w:val="Paragraph"/>
        <w:spacing w:before="0" w:after="120"/>
        <w:ind w:firstLine="0"/>
        <w:jc w:val="both"/>
        <w:rPr>
          <w:rFonts w:ascii="Arial" w:hAnsi="Arial" w:cs="Arial"/>
          <w:sz w:val="22"/>
          <w:szCs w:val="22"/>
        </w:rPr>
      </w:pPr>
    </w:p>
    <w:p w14:paraId="2A6A6BA6" w14:textId="77777777" w:rsidR="002A5394" w:rsidRPr="002A5394" w:rsidRDefault="002A5394" w:rsidP="002A5394">
      <w:pPr>
        <w:pStyle w:val="Paragraph"/>
        <w:spacing w:before="0" w:after="120"/>
        <w:ind w:firstLine="0"/>
        <w:jc w:val="both"/>
        <w:rPr>
          <w:rFonts w:ascii="Arial" w:hAnsi="Arial" w:cs="Arial"/>
          <w:sz w:val="22"/>
          <w:szCs w:val="22"/>
        </w:rPr>
      </w:pPr>
    </w:p>
    <w:p w14:paraId="4E3023D7" w14:textId="77777777" w:rsidR="00317CF6" w:rsidRDefault="00317CF6">
      <w:pPr>
        <w:rPr>
          <w:rFonts w:ascii="Arial" w:eastAsia="Times New Roman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166712A1" w14:textId="64E8B337" w:rsidR="0053141D" w:rsidRPr="003869D9" w:rsidRDefault="003869D9" w:rsidP="009A22C9">
      <w:pPr>
        <w:pStyle w:val="Paragraph"/>
        <w:spacing w:before="0" w:after="120"/>
        <w:ind w:firstLine="0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lastRenderedPageBreak/>
        <w:t>Supplementary Figure 8</w:t>
      </w:r>
    </w:p>
    <w:p w14:paraId="0AF0ABDB" w14:textId="30B39597" w:rsidR="0053141D" w:rsidRDefault="0048431E" w:rsidP="009A22C9">
      <w:pPr>
        <w:pStyle w:val="Paragraph"/>
        <w:spacing w:before="0" w:after="120"/>
        <w:ind w:firstLine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6FC69FD" wp14:editId="70BA5B6D">
            <wp:extent cx="5716800" cy="7237899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cs without Unt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6800" cy="723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4E1D4" w14:textId="4A02AF2B" w:rsidR="0053141D" w:rsidRPr="003869D9" w:rsidRDefault="00764A99" w:rsidP="003869D9">
      <w:pPr>
        <w:pStyle w:val="Paragraph"/>
        <w:spacing w:before="0" w:after="120"/>
        <w:ind w:firstLine="0"/>
        <w:jc w:val="both"/>
        <w:rPr>
          <w:rFonts w:ascii="Arial" w:hAnsi="Arial" w:cs="Arial"/>
          <w:b/>
          <w:bCs/>
          <w:sz w:val="20"/>
          <w:szCs w:val="20"/>
        </w:rPr>
      </w:pPr>
      <w:r w:rsidRPr="003869D9">
        <w:rPr>
          <w:rFonts w:ascii="Arial" w:hAnsi="Arial" w:cs="Arial"/>
          <w:b/>
          <w:bCs/>
          <w:sz w:val="20"/>
          <w:szCs w:val="20"/>
        </w:rPr>
        <w:t>Fig. S8</w:t>
      </w:r>
      <w:r w:rsidRPr="003869D9">
        <w:rPr>
          <w:rFonts w:ascii="Arial" w:hAnsi="Arial" w:cs="Arial"/>
          <w:sz w:val="20"/>
          <w:szCs w:val="20"/>
        </w:rPr>
        <w:t xml:space="preserve">. </w:t>
      </w:r>
      <w:r w:rsidRPr="003869D9">
        <w:rPr>
          <w:rFonts w:ascii="Arial" w:hAnsi="Arial" w:cs="Arial"/>
          <w:b/>
          <w:bCs/>
          <w:sz w:val="20"/>
          <w:szCs w:val="20"/>
        </w:rPr>
        <w:t>A,</w:t>
      </w:r>
      <w:r w:rsidRPr="003869D9">
        <w:rPr>
          <w:rFonts w:ascii="Arial" w:hAnsi="Arial" w:cs="Arial"/>
          <w:sz w:val="20"/>
          <w:szCs w:val="20"/>
        </w:rPr>
        <w:t xml:space="preserve"> CIBERSORT analysis of microarray groups (lymph node n=1, non-responder, responder and untreated, all n=5). Box plots indicate median and interquartile range, with each point representing the estimated cell fraction value for an individual animal. </w:t>
      </w:r>
      <w:r w:rsidRPr="003869D9">
        <w:rPr>
          <w:rFonts w:ascii="Arial" w:hAnsi="Arial" w:cs="Arial"/>
          <w:b/>
          <w:bCs/>
          <w:sz w:val="20"/>
          <w:szCs w:val="20"/>
        </w:rPr>
        <w:t>B</w:t>
      </w:r>
      <w:r w:rsidRPr="003869D9">
        <w:rPr>
          <w:rFonts w:ascii="Arial" w:hAnsi="Arial" w:cs="Arial"/>
          <w:sz w:val="20"/>
          <w:szCs w:val="20"/>
        </w:rPr>
        <w:t xml:space="preserve">, Representative high-power images of macrophage markers CD206 and MHC class II (MHC-II) (red) in TNC (green) high and low areas of Untreated, Non-Responder and Responder </w:t>
      </w:r>
      <w:proofErr w:type="spellStart"/>
      <w:r w:rsidRPr="003869D9">
        <w:rPr>
          <w:rFonts w:ascii="Arial" w:hAnsi="Arial" w:cs="Arial"/>
          <w:sz w:val="20"/>
          <w:szCs w:val="20"/>
        </w:rPr>
        <w:t>tumours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. Images include the nuclear stain Hoechst. </w:t>
      </w:r>
      <w:r w:rsidRPr="003869D9">
        <w:rPr>
          <w:rFonts w:ascii="Arial" w:hAnsi="Arial" w:cs="Arial"/>
          <w:b/>
          <w:bCs/>
          <w:sz w:val="20"/>
          <w:szCs w:val="20"/>
        </w:rPr>
        <w:t>C</w:t>
      </w:r>
      <w:r w:rsidRPr="003869D9">
        <w:rPr>
          <w:rFonts w:ascii="Arial" w:hAnsi="Arial" w:cs="Arial"/>
          <w:sz w:val="20"/>
          <w:szCs w:val="20"/>
        </w:rPr>
        <w:t>, Number of intratumoural CD206</w:t>
      </w:r>
      <w:r w:rsidRPr="003869D9">
        <w:rPr>
          <w:rFonts w:ascii="Arial" w:hAnsi="Arial" w:cs="Arial"/>
          <w:sz w:val="20"/>
          <w:szCs w:val="20"/>
          <w:vertAlign w:val="superscript"/>
        </w:rPr>
        <w:t>+</w:t>
      </w:r>
      <w:r w:rsidRPr="003869D9">
        <w:rPr>
          <w:rFonts w:ascii="Arial" w:hAnsi="Arial" w:cs="Arial"/>
          <w:sz w:val="20"/>
          <w:szCs w:val="20"/>
        </w:rPr>
        <w:t xml:space="preserve"> (left) and MHC-II</w:t>
      </w:r>
      <w:r w:rsidRPr="003869D9">
        <w:rPr>
          <w:rFonts w:ascii="Arial" w:hAnsi="Arial" w:cs="Arial"/>
          <w:sz w:val="20"/>
          <w:szCs w:val="20"/>
          <w:vertAlign w:val="superscript"/>
        </w:rPr>
        <w:t>+</w:t>
      </w:r>
      <w:r w:rsidRPr="003869D9">
        <w:rPr>
          <w:rFonts w:ascii="Arial" w:hAnsi="Arial" w:cs="Arial"/>
          <w:sz w:val="20"/>
          <w:szCs w:val="20"/>
        </w:rPr>
        <w:t xml:space="preserve"> (right) cells in TNC positive and low areas in </w:t>
      </w:r>
      <w:proofErr w:type="spellStart"/>
      <w:r w:rsidRPr="003869D9">
        <w:rPr>
          <w:rFonts w:ascii="Arial" w:hAnsi="Arial" w:cs="Arial"/>
          <w:sz w:val="20"/>
          <w:szCs w:val="20"/>
        </w:rPr>
        <w:t>tumours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of Non-Responder and Responder </w:t>
      </w:r>
      <w:proofErr w:type="spellStart"/>
      <w:r w:rsidRPr="003869D9">
        <w:rPr>
          <w:rFonts w:ascii="Arial" w:hAnsi="Arial" w:cs="Arial"/>
          <w:sz w:val="20"/>
          <w:szCs w:val="20"/>
        </w:rPr>
        <w:t>tumours</w:t>
      </w:r>
      <w:proofErr w:type="spellEnd"/>
      <w:r w:rsidRPr="003869D9">
        <w:rPr>
          <w:rFonts w:ascii="Arial" w:hAnsi="Arial" w:cs="Arial"/>
          <w:sz w:val="20"/>
          <w:szCs w:val="20"/>
        </w:rPr>
        <w:t xml:space="preserve"> of Foxp3</w:t>
      </w:r>
      <w:r w:rsidRPr="003869D9">
        <w:rPr>
          <w:rFonts w:ascii="Arial" w:hAnsi="Arial" w:cs="Arial"/>
          <w:sz w:val="20"/>
          <w:szCs w:val="20"/>
          <w:vertAlign w:val="superscript"/>
        </w:rPr>
        <w:t>DTR</w:t>
      </w:r>
      <w:r w:rsidRPr="003869D9">
        <w:rPr>
          <w:rFonts w:ascii="Arial" w:hAnsi="Arial" w:cs="Arial"/>
          <w:sz w:val="20"/>
          <w:szCs w:val="20"/>
        </w:rPr>
        <w:t xml:space="preserve"> animals (N=3). Data are presented as individual data points (individual mice) plus median and standard error of the mean. Statistical significance was determined with Mann-Whitney test.  </w:t>
      </w:r>
    </w:p>
    <w:sectPr w:rsidR="0053141D" w:rsidRPr="003869D9" w:rsidSect="0055095D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141D"/>
    <w:rsid w:val="0000326F"/>
    <w:rsid w:val="000203E3"/>
    <w:rsid w:val="00032954"/>
    <w:rsid w:val="00054A0E"/>
    <w:rsid w:val="00055834"/>
    <w:rsid w:val="00066275"/>
    <w:rsid w:val="00071F33"/>
    <w:rsid w:val="000815B5"/>
    <w:rsid w:val="0009004D"/>
    <w:rsid w:val="000906A5"/>
    <w:rsid w:val="000A671D"/>
    <w:rsid w:val="000D4EB2"/>
    <w:rsid w:val="000D7F56"/>
    <w:rsid w:val="000E6B8A"/>
    <w:rsid w:val="000E78C2"/>
    <w:rsid w:val="000F020E"/>
    <w:rsid w:val="00134D80"/>
    <w:rsid w:val="00137399"/>
    <w:rsid w:val="001421C1"/>
    <w:rsid w:val="00150464"/>
    <w:rsid w:val="00167868"/>
    <w:rsid w:val="00180863"/>
    <w:rsid w:val="00186971"/>
    <w:rsid w:val="001A1402"/>
    <w:rsid w:val="001C5D8B"/>
    <w:rsid w:val="001D7167"/>
    <w:rsid w:val="0020119E"/>
    <w:rsid w:val="00202184"/>
    <w:rsid w:val="002043D7"/>
    <w:rsid w:val="00205333"/>
    <w:rsid w:val="00216095"/>
    <w:rsid w:val="00224DF6"/>
    <w:rsid w:val="00244851"/>
    <w:rsid w:val="00245231"/>
    <w:rsid w:val="002714AB"/>
    <w:rsid w:val="0027262F"/>
    <w:rsid w:val="0027618B"/>
    <w:rsid w:val="00284A6C"/>
    <w:rsid w:val="0029531C"/>
    <w:rsid w:val="002A5394"/>
    <w:rsid w:val="002B2F02"/>
    <w:rsid w:val="002E320F"/>
    <w:rsid w:val="002F4CB5"/>
    <w:rsid w:val="003027C7"/>
    <w:rsid w:val="003133AF"/>
    <w:rsid w:val="00313EBE"/>
    <w:rsid w:val="00317CF6"/>
    <w:rsid w:val="00321ACA"/>
    <w:rsid w:val="00370D28"/>
    <w:rsid w:val="003869D9"/>
    <w:rsid w:val="003936A5"/>
    <w:rsid w:val="003B4BAD"/>
    <w:rsid w:val="003D1EC5"/>
    <w:rsid w:val="003D3B76"/>
    <w:rsid w:val="003D73AC"/>
    <w:rsid w:val="003E202C"/>
    <w:rsid w:val="004073BA"/>
    <w:rsid w:val="00427DCE"/>
    <w:rsid w:val="00446D38"/>
    <w:rsid w:val="0045127D"/>
    <w:rsid w:val="0046303C"/>
    <w:rsid w:val="0048431E"/>
    <w:rsid w:val="0049092B"/>
    <w:rsid w:val="00497BCA"/>
    <w:rsid w:val="004A0BD3"/>
    <w:rsid w:val="004C29EE"/>
    <w:rsid w:val="004D018E"/>
    <w:rsid w:val="004D586B"/>
    <w:rsid w:val="004F7D7B"/>
    <w:rsid w:val="0053090C"/>
    <w:rsid w:val="0053141D"/>
    <w:rsid w:val="00547DEA"/>
    <w:rsid w:val="0055095D"/>
    <w:rsid w:val="00562E0A"/>
    <w:rsid w:val="00563B00"/>
    <w:rsid w:val="00564C63"/>
    <w:rsid w:val="00594579"/>
    <w:rsid w:val="005B6D93"/>
    <w:rsid w:val="005C428E"/>
    <w:rsid w:val="005D5ABE"/>
    <w:rsid w:val="005D7BBD"/>
    <w:rsid w:val="005F5480"/>
    <w:rsid w:val="0060408E"/>
    <w:rsid w:val="0062226B"/>
    <w:rsid w:val="00630683"/>
    <w:rsid w:val="00634435"/>
    <w:rsid w:val="00672DFA"/>
    <w:rsid w:val="006A609D"/>
    <w:rsid w:val="006B31AC"/>
    <w:rsid w:val="006C0215"/>
    <w:rsid w:val="006C49A1"/>
    <w:rsid w:val="006D252B"/>
    <w:rsid w:val="006D42FE"/>
    <w:rsid w:val="006D5955"/>
    <w:rsid w:val="006F0262"/>
    <w:rsid w:val="006F479B"/>
    <w:rsid w:val="006F4FDC"/>
    <w:rsid w:val="00702041"/>
    <w:rsid w:val="00704E84"/>
    <w:rsid w:val="00717DF7"/>
    <w:rsid w:val="0072094E"/>
    <w:rsid w:val="00744902"/>
    <w:rsid w:val="0075788E"/>
    <w:rsid w:val="00764A99"/>
    <w:rsid w:val="00765385"/>
    <w:rsid w:val="00767E0C"/>
    <w:rsid w:val="00780405"/>
    <w:rsid w:val="007861AD"/>
    <w:rsid w:val="007A2184"/>
    <w:rsid w:val="007B14A9"/>
    <w:rsid w:val="007B4403"/>
    <w:rsid w:val="007C033A"/>
    <w:rsid w:val="007C6AC1"/>
    <w:rsid w:val="007D6D69"/>
    <w:rsid w:val="00802700"/>
    <w:rsid w:val="00816B8D"/>
    <w:rsid w:val="00823A26"/>
    <w:rsid w:val="00842C26"/>
    <w:rsid w:val="00847ABB"/>
    <w:rsid w:val="00870A9B"/>
    <w:rsid w:val="008856B4"/>
    <w:rsid w:val="008A25F9"/>
    <w:rsid w:val="008B0F2C"/>
    <w:rsid w:val="008C5073"/>
    <w:rsid w:val="008D641C"/>
    <w:rsid w:val="008F3F18"/>
    <w:rsid w:val="00912CC0"/>
    <w:rsid w:val="009149F4"/>
    <w:rsid w:val="00942E8E"/>
    <w:rsid w:val="009436C3"/>
    <w:rsid w:val="00946121"/>
    <w:rsid w:val="0095024C"/>
    <w:rsid w:val="00972CE8"/>
    <w:rsid w:val="009823BA"/>
    <w:rsid w:val="00991B0E"/>
    <w:rsid w:val="009A22C9"/>
    <w:rsid w:val="009B73C2"/>
    <w:rsid w:val="009D7594"/>
    <w:rsid w:val="009E1153"/>
    <w:rsid w:val="009E4FF4"/>
    <w:rsid w:val="009E52A3"/>
    <w:rsid w:val="009F16B5"/>
    <w:rsid w:val="00A17358"/>
    <w:rsid w:val="00A411D2"/>
    <w:rsid w:val="00A44580"/>
    <w:rsid w:val="00A57A2F"/>
    <w:rsid w:val="00A70DEC"/>
    <w:rsid w:val="00A75319"/>
    <w:rsid w:val="00A805D5"/>
    <w:rsid w:val="00A952C3"/>
    <w:rsid w:val="00AD2A92"/>
    <w:rsid w:val="00AE541D"/>
    <w:rsid w:val="00AF583E"/>
    <w:rsid w:val="00B10D69"/>
    <w:rsid w:val="00B17FAA"/>
    <w:rsid w:val="00B63CED"/>
    <w:rsid w:val="00B82844"/>
    <w:rsid w:val="00BB6E1E"/>
    <w:rsid w:val="00BC3271"/>
    <w:rsid w:val="00C021E9"/>
    <w:rsid w:val="00C134F6"/>
    <w:rsid w:val="00C2008E"/>
    <w:rsid w:val="00C21F94"/>
    <w:rsid w:val="00C35491"/>
    <w:rsid w:val="00C45E68"/>
    <w:rsid w:val="00C60DFC"/>
    <w:rsid w:val="00C66E32"/>
    <w:rsid w:val="00C713BC"/>
    <w:rsid w:val="00C861A7"/>
    <w:rsid w:val="00C91C65"/>
    <w:rsid w:val="00C9729C"/>
    <w:rsid w:val="00CB49B8"/>
    <w:rsid w:val="00CB6CB3"/>
    <w:rsid w:val="00CC47D1"/>
    <w:rsid w:val="00CD0AFC"/>
    <w:rsid w:val="00CF45B8"/>
    <w:rsid w:val="00D019F5"/>
    <w:rsid w:val="00D01A30"/>
    <w:rsid w:val="00D363B3"/>
    <w:rsid w:val="00D6279B"/>
    <w:rsid w:val="00D92369"/>
    <w:rsid w:val="00D9536F"/>
    <w:rsid w:val="00D95ABA"/>
    <w:rsid w:val="00DA2997"/>
    <w:rsid w:val="00DA2E24"/>
    <w:rsid w:val="00DA2FC2"/>
    <w:rsid w:val="00DB0892"/>
    <w:rsid w:val="00DB7A01"/>
    <w:rsid w:val="00DC2EB3"/>
    <w:rsid w:val="00DE51E6"/>
    <w:rsid w:val="00DF4C11"/>
    <w:rsid w:val="00E2043C"/>
    <w:rsid w:val="00E35C5F"/>
    <w:rsid w:val="00E43D9A"/>
    <w:rsid w:val="00E55D78"/>
    <w:rsid w:val="00E7421D"/>
    <w:rsid w:val="00E7521F"/>
    <w:rsid w:val="00E8474F"/>
    <w:rsid w:val="00E8644F"/>
    <w:rsid w:val="00E90734"/>
    <w:rsid w:val="00EA2E75"/>
    <w:rsid w:val="00EA670B"/>
    <w:rsid w:val="00EC1AC6"/>
    <w:rsid w:val="00EC2FFE"/>
    <w:rsid w:val="00EC4B11"/>
    <w:rsid w:val="00EC746E"/>
    <w:rsid w:val="00F14DA5"/>
    <w:rsid w:val="00F85597"/>
    <w:rsid w:val="00FA2880"/>
    <w:rsid w:val="00FC3596"/>
    <w:rsid w:val="00FD6789"/>
    <w:rsid w:val="00FF3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DAA102"/>
  <w14:defaultImageDpi w14:val="32767"/>
  <w15:chartTrackingRefBased/>
  <w15:docId w15:val="{511CDEAA-D988-2148-A6E7-148F2F7FA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53141D"/>
    <w:rPr>
      <w:rFonts w:ascii="Times New Roman" w:eastAsia="Calibri" w:hAnsi="Times New Roman" w:cs="Times New Roman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aragraph">
    <w:name w:val="Paragraph"/>
    <w:basedOn w:val="Normal"/>
    <w:rsid w:val="0053141D"/>
    <w:pPr>
      <w:spacing w:before="120"/>
      <w:ind w:firstLine="720"/>
    </w:pPr>
    <w:rPr>
      <w:rFonts w:eastAsia="Times New Roman"/>
      <w:sz w:val="24"/>
      <w:szCs w:val="24"/>
    </w:rPr>
  </w:style>
  <w:style w:type="paragraph" w:customStyle="1" w:styleId="SOMHead">
    <w:name w:val="SOMHead"/>
    <w:basedOn w:val="Normal"/>
    <w:rsid w:val="0053141D"/>
    <w:pPr>
      <w:keepNext/>
      <w:spacing w:before="240"/>
      <w:outlineLvl w:val="0"/>
    </w:pPr>
    <w:rPr>
      <w:rFonts w:eastAsia="Times New Roman"/>
      <w:b/>
      <w:kern w:val="28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A2E75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2E75"/>
    <w:rPr>
      <w:rFonts w:ascii="Times New Roman" w:eastAsia="Calibri" w:hAnsi="Times New Roman" w:cs="Times New Roman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2A539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A5394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A5394"/>
    <w:rPr>
      <w:rFonts w:ascii="Times New Roman" w:eastAsia="Calibri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A539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A5394"/>
    <w:rPr>
      <w:rFonts w:ascii="Times New Roman" w:eastAsia="Calibri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semiHidden/>
    <w:unhideWhenUsed/>
    <w:rsid w:val="00205333"/>
    <w:pPr>
      <w:spacing w:before="100" w:beforeAutospacing="1" w:after="100" w:afterAutospacing="1"/>
    </w:pPr>
    <w:rPr>
      <w:rFonts w:eastAsia="Times New Roman"/>
      <w:sz w:val="24"/>
      <w:szCs w:val="24"/>
      <w:lang w:val="en-GB" w:eastAsia="en-GB"/>
    </w:rPr>
  </w:style>
  <w:style w:type="character" w:styleId="Hyperlink">
    <w:name w:val="Hyperlink"/>
    <w:basedOn w:val="DefaultParagraphFont"/>
    <w:uiPriority w:val="99"/>
    <w:unhideWhenUsed/>
    <w:rsid w:val="00CC47D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CC47D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11</Pages>
  <Words>702</Words>
  <Characters>4003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Pires</dc:creator>
  <cp:keywords/>
  <dc:description/>
  <cp:lastModifiedBy>Ana Da Costa Pires</cp:lastModifiedBy>
  <cp:revision>11</cp:revision>
  <dcterms:created xsi:type="dcterms:W3CDTF">2020-07-06T15:31:00Z</dcterms:created>
  <dcterms:modified xsi:type="dcterms:W3CDTF">2020-09-10T15:45:00Z</dcterms:modified>
</cp:coreProperties>
</file>