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60FA0" w14:textId="38BF4493" w:rsidR="0050193C" w:rsidRDefault="00FE11A1" w:rsidP="0050193C">
      <w:pPr>
        <w:pStyle w:val="p1"/>
        <w:rPr>
          <w:rFonts w:ascii="Times New Roman" w:hAnsi="Times New Roman"/>
          <w:color w:val="000000" w:themeColor="text1"/>
          <w:sz w:val="24"/>
          <w:szCs w:val="24"/>
        </w:rPr>
      </w:pPr>
      <w:r>
        <w:rPr>
          <w:rFonts w:ascii="Times New Roman" w:hAnsi="Times New Roman"/>
          <w:b/>
          <w:color w:val="000000" w:themeColor="text1"/>
          <w:sz w:val="24"/>
          <w:szCs w:val="24"/>
        </w:rPr>
        <w:t>Supplementary Table S3</w:t>
      </w:r>
      <w:r w:rsidRPr="00FE11A1">
        <w:rPr>
          <w:rFonts w:ascii="Times New Roman" w:hAnsi="Times New Roman"/>
          <w:b/>
          <w:color w:val="000000" w:themeColor="text1"/>
          <w:sz w:val="24"/>
          <w:szCs w:val="24"/>
        </w:rPr>
        <w:t xml:space="preserve">. </w:t>
      </w:r>
      <w:r w:rsidR="00757E8C">
        <w:rPr>
          <w:rFonts w:ascii="Times New Roman" w:hAnsi="Times New Roman" w:hint="eastAsia"/>
          <w:b/>
          <w:color w:val="000000" w:themeColor="text1"/>
          <w:sz w:val="24"/>
          <w:szCs w:val="24"/>
        </w:rPr>
        <w:t xml:space="preserve"> </w:t>
      </w:r>
      <w:r w:rsidR="00757E8C" w:rsidRPr="00CA72D1">
        <w:rPr>
          <w:rFonts w:ascii="Times New Roman" w:hAnsi="Times New Roman"/>
          <w:b/>
          <w:bCs/>
          <w:sz w:val="24"/>
          <w:szCs w:val="24"/>
        </w:rPr>
        <w:t>Cox proportional hazards regression models with inverse probability of treatment weighting using propensity score</w:t>
      </w:r>
      <w:r w:rsidR="00757E8C">
        <w:rPr>
          <w:rFonts w:ascii="Times New Roman" w:hAnsi="Times New Roman"/>
          <w:b/>
          <w:bCs/>
          <w:sz w:val="24"/>
          <w:szCs w:val="24"/>
        </w:rPr>
        <w:t>.</w:t>
      </w:r>
      <w:r w:rsidR="0050193C" w:rsidRPr="00FE11A1">
        <w:rPr>
          <w:rFonts w:ascii="Times New Roman" w:hAnsi="Times New Roman"/>
          <w:b/>
          <w:color w:val="000000" w:themeColor="text1"/>
          <w:sz w:val="24"/>
          <w:szCs w:val="24"/>
        </w:rPr>
        <w:t xml:space="preserve"> </w:t>
      </w:r>
    </w:p>
    <w:p w14:paraId="0BDA0961" w14:textId="77777777" w:rsidR="009505DD" w:rsidRPr="00FE11A1" w:rsidRDefault="009505DD" w:rsidP="0050193C">
      <w:pPr>
        <w:pStyle w:val="p1"/>
        <w:rPr>
          <w:rFonts w:ascii="Times New Roman" w:hAnsi="Times New Roman"/>
          <w:color w:val="000000" w:themeColor="text1"/>
          <w:sz w:val="24"/>
          <w:szCs w:val="24"/>
        </w:rPr>
      </w:pPr>
    </w:p>
    <w:p w14:paraId="3F8DAD6A" w14:textId="308860DC" w:rsidR="008C1184" w:rsidRPr="008C1184" w:rsidRDefault="0050193C" w:rsidP="0050193C">
      <w:pPr>
        <w:pStyle w:val="p1"/>
        <w:rPr>
          <w:rFonts w:ascii="Times New Roman" w:hAnsi="Times New Roman"/>
          <w:b/>
          <w:sz w:val="24"/>
          <w:szCs w:val="24"/>
        </w:rPr>
      </w:pPr>
      <w:r w:rsidRPr="008C1184">
        <w:rPr>
          <w:rFonts w:ascii="Times New Roman" w:hAnsi="Times New Roman"/>
          <w:b/>
          <w:sz w:val="24"/>
          <w:szCs w:val="24"/>
        </w:rPr>
        <w:t xml:space="preserve"> </w:t>
      </w:r>
    </w:p>
    <w:tbl>
      <w:tblPr>
        <w:tblW w:w="8779" w:type="dxa"/>
        <w:jc w:val="center"/>
        <w:tblCellMar>
          <w:left w:w="70" w:type="dxa"/>
          <w:right w:w="70" w:type="dxa"/>
        </w:tblCellMar>
        <w:tblLook w:val="04A0" w:firstRow="1" w:lastRow="0" w:firstColumn="1" w:lastColumn="0" w:noHBand="0" w:noVBand="1"/>
      </w:tblPr>
      <w:tblGrid>
        <w:gridCol w:w="2455"/>
        <w:gridCol w:w="1542"/>
        <w:gridCol w:w="1958"/>
        <w:gridCol w:w="2824"/>
      </w:tblGrid>
      <w:tr w:rsidR="008C1184" w:rsidRPr="008C1184" w14:paraId="201C537C" w14:textId="77777777" w:rsidTr="00294045">
        <w:trPr>
          <w:trHeight w:val="564"/>
          <w:jc w:val="center"/>
        </w:trPr>
        <w:tc>
          <w:tcPr>
            <w:tcW w:w="2455" w:type="dxa"/>
            <w:tcBorders>
              <w:top w:val="single" w:sz="18" w:space="0" w:color="auto"/>
              <w:bottom w:val="single" w:sz="12" w:space="0" w:color="auto"/>
            </w:tcBorders>
            <w:shd w:val="clear" w:color="auto" w:fill="auto"/>
            <w:noWrap/>
            <w:vAlign w:val="center"/>
            <w:hideMark/>
          </w:tcPr>
          <w:p w14:paraId="39428071" w14:textId="77777777" w:rsidR="008C1184" w:rsidRPr="008C1184" w:rsidRDefault="008C1184" w:rsidP="00294045">
            <w:pPr>
              <w:spacing w:after="0" w:line="240" w:lineRule="auto"/>
              <w:jc w:val="center"/>
              <w:rPr>
                <w:rFonts w:ascii="Times New Roman" w:eastAsia="Times New Roman" w:hAnsi="Times New Roman" w:cs="Times New Roman"/>
                <w:b/>
                <w:bCs/>
                <w:sz w:val="24"/>
                <w:szCs w:val="24"/>
                <w:lang w:val="en-US" w:eastAsia="de-DE"/>
              </w:rPr>
            </w:pPr>
            <w:r w:rsidRPr="008C1184">
              <w:rPr>
                <w:rFonts w:ascii="Times New Roman" w:eastAsia="Times New Roman" w:hAnsi="Times New Roman" w:cs="Times New Roman"/>
                <w:b/>
                <w:bCs/>
                <w:sz w:val="24"/>
                <w:szCs w:val="24"/>
                <w:lang w:val="en-US" w:eastAsia="de-DE"/>
              </w:rPr>
              <w:t>PFS</w:t>
            </w:r>
          </w:p>
        </w:tc>
        <w:tc>
          <w:tcPr>
            <w:tcW w:w="1542" w:type="dxa"/>
            <w:tcBorders>
              <w:top w:val="single" w:sz="18" w:space="0" w:color="auto"/>
              <w:left w:val="nil"/>
              <w:bottom w:val="single" w:sz="12" w:space="0" w:color="auto"/>
            </w:tcBorders>
            <w:shd w:val="clear" w:color="auto" w:fill="auto"/>
            <w:noWrap/>
            <w:vAlign w:val="center"/>
            <w:hideMark/>
          </w:tcPr>
          <w:p w14:paraId="47464D16" w14:textId="77777777" w:rsidR="008C1184" w:rsidRPr="008C1184" w:rsidRDefault="008C1184" w:rsidP="00294045">
            <w:pPr>
              <w:spacing w:after="0" w:line="240" w:lineRule="auto"/>
              <w:jc w:val="center"/>
              <w:rPr>
                <w:rFonts w:ascii="Times New Roman" w:eastAsia="Times New Roman" w:hAnsi="Times New Roman" w:cs="Times New Roman"/>
                <w:b/>
                <w:sz w:val="24"/>
                <w:szCs w:val="24"/>
                <w:lang w:val="en-US" w:eastAsia="ja-JP"/>
              </w:rPr>
            </w:pPr>
            <w:r w:rsidRPr="008C1184">
              <w:rPr>
                <w:rFonts w:ascii="Times New Roman" w:eastAsia="Times New Roman" w:hAnsi="Times New Roman" w:cs="Times New Roman"/>
                <w:b/>
                <w:sz w:val="24"/>
                <w:szCs w:val="24"/>
                <w:lang w:val="en-US" w:eastAsia="de-DE"/>
              </w:rPr>
              <w:t>HR</w:t>
            </w:r>
          </w:p>
        </w:tc>
        <w:tc>
          <w:tcPr>
            <w:tcW w:w="1958" w:type="dxa"/>
            <w:tcBorders>
              <w:top w:val="single" w:sz="18" w:space="0" w:color="auto"/>
              <w:left w:val="nil"/>
              <w:bottom w:val="single" w:sz="12" w:space="0" w:color="auto"/>
            </w:tcBorders>
            <w:shd w:val="clear" w:color="auto" w:fill="auto"/>
            <w:noWrap/>
            <w:vAlign w:val="center"/>
            <w:hideMark/>
          </w:tcPr>
          <w:p w14:paraId="6F081D41" w14:textId="77777777" w:rsidR="008C1184" w:rsidRPr="008C1184" w:rsidRDefault="008C1184" w:rsidP="00294045">
            <w:pPr>
              <w:spacing w:after="0" w:line="240" w:lineRule="auto"/>
              <w:jc w:val="center"/>
              <w:rPr>
                <w:rFonts w:ascii="Times New Roman" w:eastAsia="Times New Roman" w:hAnsi="Times New Roman" w:cs="Times New Roman"/>
                <w:b/>
                <w:sz w:val="24"/>
                <w:szCs w:val="24"/>
                <w:lang w:val="en-US" w:eastAsia="de-DE"/>
              </w:rPr>
            </w:pPr>
            <w:r w:rsidRPr="008C1184">
              <w:rPr>
                <w:rFonts w:ascii="Times New Roman" w:eastAsia="Times New Roman" w:hAnsi="Times New Roman" w:cs="Times New Roman"/>
                <w:b/>
                <w:sz w:val="24"/>
                <w:szCs w:val="24"/>
                <w:lang w:val="en-US" w:eastAsia="de-DE"/>
              </w:rPr>
              <w:t>95% CI</w:t>
            </w:r>
          </w:p>
        </w:tc>
        <w:tc>
          <w:tcPr>
            <w:tcW w:w="2824" w:type="dxa"/>
            <w:tcBorders>
              <w:top w:val="single" w:sz="18" w:space="0" w:color="auto"/>
              <w:left w:val="nil"/>
              <w:bottom w:val="single" w:sz="12" w:space="0" w:color="auto"/>
            </w:tcBorders>
            <w:vAlign w:val="center"/>
          </w:tcPr>
          <w:p w14:paraId="255745C5" w14:textId="77777777" w:rsidR="008C1184" w:rsidRPr="008C1184" w:rsidRDefault="008C1184" w:rsidP="00294045">
            <w:pPr>
              <w:spacing w:after="0" w:line="240" w:lineRule="auto"/>
              <w:jc w:val="center"/>
              <w:rPr>
                <w:rFonts w:ascii="Times New Roman" w:hAnsi="Times New Roman" w:cs="Times New Roman"/>
                <w:b/>
                <w:sz w:val="24"/>
                <w:szCs w:val="24"/>
                <w:lang w:val="en-US"/>
              </w:rPr>
            </w:pPr>
            <w:r w:rsidRPr="008C1184">
              <w:rPr>
                <w:rFonts w:ascii="Times New Roman" w:eastAsia="Times New Roman" w:hAnsi="Times New Roman" w:cs="Times New Roman"/>
                <w:b/>
                <w:sz w:val="24"/>
                <w:szCs w:val="24"/>
                <w:lang w:val="en-US" w:eastAsia="de-DE"/>
              </w:rPr>
              <w:t>P-value</w:t>
            </w:r>
          </w:p>
        </w:tc>
      </w:tr>
      <w:tr w:rsidR="008C1184" w:rsidRPr="008C1184" w14:paraId="1DF916FD" w14:textId="77777777" w:rsidTr="00294045">
        <w:trPr>
          <w:trHeight w:val="673"/>
          <w:jc w:val="center"/>
        </w:trPr>
        <w:tc>
          <w:tcPr>
            <w:tcW w:w="2455" w:type="dxa"/>
            <w:tcBorders>
              <w:top w:val="single" w:sz="12" w:space="0" w:color="auto"/>
              <w:bottom w:val="single" w:sz="8" w:space="0" w:color="000000"/>
            </w:tcBorders>
            <w:shd w:val="clear" w:color="auto" w:fill="auto"/>
            <w:noWrap/>
            <w:vAlign w:val="center"/>
            <w:hideMark/>
          </w:tcPr>
          <w:p w14:paraId="79BB895F" w14:textId="7777777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ja-JP"/>
              </w:rPr>
            </w:pPr>
            <w:r w:rsidRPr="008C1184">
              <w:rPr>
                <w:rFonts w:ascii="Times New Roman" w:eastAsia="Times New Roman" w:hAnsi="Times New Roman" w:cs="Times New Roman"/>
                <w:sz w:val="24"/>
                <w:szCs w:val="24"/>
                <w:lang w:val="en-US" w:eastAsia="ja-JP"/>
              </w:rPr>
              <w:t>No probiotic CBT</w:t>
            </w:r>
          </w:p>
          <w:p w14:paraId="2A91ECBC" w14:textId="7777777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ja-JP"/>
              </w:rPr>
            </w:pPr>
            <w:r w:rsidRPr="008C1184">
              <w:rPr>
                <w:rFonts w:ascii="Times New Roman" w:eastAsia="Times New Roman" w:hAnsi="Times New Roman" w:cs="Times New Roman"/>
                <w:sz w:val="24"/>
                <w:szCs w:val="24"/>
                <w:lang w:val="en-US" w:eastAsia="ja-JP"/>
              </w:rPr>
              <w:t xml:space="preserve"> (Reference)</w:t>
            </w:r>
          </w:p>
        </w:tc>
        <w:tc>
          <w:tcPr>
            <w:tcW w:w="1542" w:type="dxa"/>
            <w:tcBorders>
              <w:top w:val="single" w:sz="12" w:space="0" w:color="auto"/>
              <w:left w:val="nil"/>
              <w:bottom w:val="single" w:sz="8" w:space="0" w:color="000000"/>
            </w:tcBorders>
            <w:shd w:val="clear" w:color="auto" w:fill="auto"/>
            <w:noWrap/>
            <w:vAlign w:val="center"/>
            <w:hideMark/>
          </w:tcPr>
          <w:p w14:paraId="3B33BF70" w14:textId="7777777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de-DE"/>
              </w:rPr>
            </w:pPr>
          </w:p>
        </w:tc>
        <w:tc>
          <w:tcPr>
            <w:tcW w:w="1958" w:type="dxa"/>
            <w:tcBorders>
              <w:top w:val="single" w:sz="12" w:space="0" w:color="auto"/>
              <w:left w:val="nil"/>
              <w:bottom w:val="single" w:sz="8" w:space="0" w:color="000000"/>
            </w:tcBorders>
            <w:shd w:val="clear" w:color="auto" w:fill="auto"/>
            <w:noWrap/>
            <w:vAlign w:val="center"/>
            <w:hideMark/>
          </w:tcPr>
          <w:p w14:paraId="4B440F0B" w14:textId="7777777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de-DE"/>
              </w:rPr>
            </w:pPr>
          </w:p>
        </w:tc>
        <w:tc>
          <w:tcPr>
            <w:tcW w:w="2824" w:type="dxa"/>
            <w:tcBorders>
              <w:top w:val="single" w:sz="12" w:space="0" w:color="auto"/>
              <w:left w:val="nil"/>
              <w:bottom w:val="single" w:sz="8" w:space="0" w:color="000000"/>
            </w:tcBorders>
            <w:vAlign w:val="center"/>
          </w:tcPr>
          <w:p w14:paraId="0D01ED4B" w14:textId="7777777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de-DE"/>
              </w:rPr>
            </w:pPr>
          </w:p>
        </w:tc>
      </w:tr>
      <w:tr w:rsidR="008C1184" w:rsidRPr="008C1184" w14:paraId="000CE7A6" w14:textId="77777777" w:rsidTr="00294045">
        <w:trPr>
          <w:trHeight w:val="572"/>
          <w:jc w:val="center"/>
        </w:trPr>
        <w:tc>
          <w:tcPr>
            <w:tcW w:w="2455" w:type="dxa"/>
            <w:tcBorders>
              <w:top w:val="single" w:sz="8" w:space="0" w:color="000000"/>
              <w:bottom w:val="single" w:sz="18" w:space="0" w:color="000000"/>
            </w:tcBorders>
            <w:shd w:val="clear" w:color="auto" w:fill="auto"/>
            <w:noWrap/>
            <w:vAlign w:val="center"/>
            <w:hideMark/>
          </w:tcPr>
          <w:p w14:paraId="77F398FC" w14:textId="7777777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de-DE"/>
              </w:rPr>
            </w:pPr>
            <w:r w:rsidRPr="008C1184">
              <w:rPr>
                <w:rFonts w:ascii="Times New Roman" w:eastAsia="Times New Roman" w:hAnsi="Times New Roman" w:cs="Times New Roman"/>
                <w:sz w:val="24"/>
                <w:szCs w:val="24"/>
                <w:lang w:val="en-US" w:eastAsia="ja-JP"/>
              </w:rPr>
              <w:t>Probiotic CBT</w:t>
            </w:r>
          </w:p>
        </w:tc>
        <w:tc>
          <w:tcPr>
            <w:tcW w:w="1542" w:type="dxa"/>
            <w:tcBorders>
              <w:top w:val="single" w:sz="8" w:space="0" w:color="000000"/>
              <w:left w:val="nil"/>
              <w:bottom w:val="single" w:sz="18" w:space="0" w:color="000000"/>
            </w:tcBorders>
            <w:shd w:val="clear" w:color="auto" w:fill="auto"/>
            <w:noWrap/>
            <w:vAlign w:val="center"/>
            <w:hideMark/>
          </w:tcPr>
          <w:p w14:paraId="5740FAC6" w14:textId="6BAFE8A9" w:rsidR="008C1184" w:rsidRPr="008C1184" w:rsidRDefault="008C1184" w:rsidP="00294045">
            <w:pPr>
              <w:spacing w:after="0" w:line="240" w:lineRule="auto"/>
              <w:jc w:val="center"/>
              <w:rPr>
                <w:rFonts w:ascii="Times New Roman" w:eastAsia="Times New Roman" w:hAnsi="Times New Roman" w:cs="Times New Roman"/>
                <w:sz w:val="24"/>
                <w:szCs w:val="24"/>
                <w:lang w:val="en-US" w:eastAsia="de-DE"/>
              </w:rPr>
            </w:pPr>
            <w:r w:rsidRPr="008C1184">
              <w:rPr>
                <w:rFonts w:ascii="Times New Roman" w:eastAsia="Times New Roman" w:hAnsi="Times New Roman" w:cs="Times New Roman"/>
                <w:sz w:val="24"/>
                <w:szCs w:val="24"/>
                <w:lang w:val="en-US" w:eastAsia="de-DE"/>
              </w:rPr>
              <w:t>0.3</w:t>
            </w:r>
            <w:r w:rsidR="005104EC">
              <w:rPr>
                <w:rFonts w:ascii="Times New Roman" w:eastAsia="Times New Roman" w:hAnsi="Times New Roman" w:cs="Times New Roman"/>
                <w:sz w:val="24"/>
                <w:szCs w:val="24"/>
                <w:lang w:val="en-US" w:eastAsia="de-DE"/>
              </w:rPr>
              <w:t>7</w:t>
            </w:r>
          </w:p>
        </w:tc>
        <w:tc>
          <w:tcPr>
            <w:tcW w:w="1958" w:type="dxa"/>
            <w:tcBorders>
              <w:top w:val="single" w:sz="8" w:space="0" w:color="000000"/>
              <w:left w:val="nil"/>
              <w:bottom w:val="single" w:sz="18" w:space="0" w:color="000000"/>
            </w:tcBorders>
            <w:shd w:val="clear" w:color="auto" w:fill="auto"/>
            <w:noWrap/>
            <w:vAlign w:val="center"/>
            <w:hideMark/>
          </w:tcPr>
          <w:p w14:paraId="72E16840" w14:textId="2985982F" w:rsidR="008C1184" w:rsidRPr="008C1184" w:rsidRDefault="00FE11A1" w:rsidP="00294045">
            <w:pPr>
              <w:spacing w:after="0" w:line="240" w:lineRule="auto"/>
              <w:jc w:val="center"/>
              <w:rPr>
                <w:rFonts w:ascii="Times New Roman" w:eastAsia="Times New Roman" w:hAnsi="Times New Roman" w:cs="Times New Roman"/>
                <w:sz w:val="24"/>
                <w:szCs w:val="24"/>
                <w:lang w:val="en-US" w:eastAsia="de-DE"/>
              </w:rPr>
            </w:pPr>
            <w:r w:rsidRPr="008C1184">
              <w:rPr>
                <w:rFonts w:ascii="Times New Roman" w:eastAsia="Times New Roman" w:hAnsi="Times New Roman" w:cs="Times New Roman"/>
                <w:sz w:val="24"/>
                <w:szCs w:val="24"/>
                <w:lang w:val="en-US" w:eastAsia="de-DE"/>
              </w:rPr>
              <w:t>0.</w:t>
            </w:r>
            <w:r>
              <w:rPr>
                <w:rFonts w:ascii="Times New Roman" w:eastAsia="Times New Roman" w:hAnsi="Times New Roman" w:cs="Times New Roman"/>
                <w:sz w:val="24"/>
                <w:szCs w:val="24"/>
                <w:lang w:val="en-US" w:eastAsia="de-DE"/>
              </w:rPr>
              <w:t>21</w:t>
            </w:r>
            <w:r w:rsidRPr="008C1184">
              <w:rPr>
                <w:rFonts w:ascii="Times New Roman" w:eastAsia="Times New Roman" w:hAnsi="Times New Roman" w:cs="Times New Roman"/>
                <w:sz w:val="24"/>
                <w:szCs w:val="24"/>
                <w:lang w:val="en-US" w:eastAsia="de-DE"/>
              </w:rPr>
              <w:t>-0.6</w:t>
            </w:r>
            <w:r>
              <w:rPr>
                <w:rFonts w:ascii="Times New Roman" w:eastAsia="Times New Roman" w:hAnsi="Times New Roman" w:cs="Times New Roman"/>
                <w:sz w:val="24"/>
                <w:szCs w:val="24"/>
                <w:lang w:val="en-US" w:eastAsia="de-DE"/>
              </w:rPr>
              <w:t>8</w:t>
            </w:r>
          </w:p>
        </w:tc>
        <w:tc>
          <w:tcPr>
            <w:tcW w:w="2824" w:type="dxa"/>
            <w:tcBorders>
              <w:top w:val="single" w:sz="8" w:space="0" w:color="000000"/>
              <w:left w:val="nil"/>
              <w:bottom w:val="single" w:sz="18" w:space="0" w:color="000000"/>
            </w:tcBorders>
            <w:vAlign w:val="center"/>
          </w:tcPr>
          <w:p w14:paraId="4C6955C9" w14:textId="26C7E02A" w:rsidR="008C1184" w:rsidRPr="008C1184" w:rsidRDefault="008C1184" w:rsidP="00294045">
            <w:pPr>
              <w:spacing w:after="0" w:line="240" w:lineRule="auto"/>
              <w:jc w:val="center"/>
              <w:rPr>
                <w:rFonts w:ascii="Times New Roman" w:eastAsia="Times New Roman" w:hAnsi="Times New Roman" w:cs="Times New Roman"/>
                <w:sz w:val="24"/>
                <w:szCs w:val="24"/>
                <w:lang w:val="en-US" w:eastAsia="de-DE"/>
              </w:rPr>
            </w:pPr>
            <w:r w:rsidRPr="008C1184">
              <w:rPr>
                <w:rFonts w:ascii="Times New Roman" w:eastAsia="Times New Roman" w:hAnsi="Times New Roman" w:cs="Times New Roman"/>
                <w:sz w:val="24"/>
                <w:szCs w:val="24"/>
                <w:lang w:val="en-US" w:eastAsia="de-DE"/>
              </w:rPr>
              <w:t>P=0.00</w:t>
            </w:r>
            <w:r w:rsidR="00B769A3">
              <w:rPr>
                <w:rFonts w:ascii="Times New Roman" w:eastAsia="Times New Roman" w:hAnsi="Times New Roman" w:cs="Times New Roman"/>
                <w:sz w:val="24"/>
                <w:szCs w:val="24"/>
                <w:lang w:val="en-US" w:eastAsia="de-DE"/>
              </w:rPr>
              <w:t>1</w:t>
            </w:r>
          </w:p>
        </w:tc>
      </w:tr>
      <w:tr w:rsidR="008C1184" w:rsidRPr="008C1184" w14:paraId="53EA56F0" w14:textId="77777777" w:rsidTr="00294045">
        <w:trPr>
          <w:trHeight w:val="572"/>
          <w:jc w:val="center"/>
        </w:trPr>
        <w:tc>
          <w:tcPr>
            <w:tcW w:w="2455" w:type="dxa"/>
            <w:tcBorders>
              <w:top w:val="single" w:sz="18" w:space="0" w:color="000000"/>
              <w:bottom w:val="single" w:sz="12" w:space="0" w:color="000000"/>
            </w:tcBorders>
            <w:shd w:val="clear" w:color="auto" w:fill="auto"/>
            <w:noWrap/>
            <w:vAlign w:val="center"/>
          </w:tcPr>
          <w:p w14:paraId="0A1F86CD" w14:textId="7777777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ja-JP"/>
              </w:rPr>
            </w:pPr>
            <w:r w:rsidRPr="008C1184">
              <w:rPr>
                <w:rFonts w:ascii="Times New Roman" w:eastAsia="Times New Roman" w:hAnsi="Times New Roman" w:cs="Times New Roman"/>
                <w:b/>
                <w:bCs/>
                <w:sz w:val="24"/>
                <w:szCs w:val="24"/>
                <w:lang w:val="en-US" w:eastAsia="de-DE"/>
              </w:rPr>
              <w:t>OS</w:t>
            </w:r>
          </w:p>
        </w:tc>
        <w:tc>
          <w:tcPr>
            <w:tcW w:w="1542" w:type="dxa"/>
            <w:tcBorders>
              <w:top w:val="single" w:sz="18" w:space="0" w:color="000000"/>
              <w:left w:val="nil"/>
              <w:bottom w:val="single" w:sz="12" w:space="0" w:color="000000"/>
            </w:tcBorders>
            <w:shd w:val="clear" w:color="auto" w:fill="auto"/>
            <w:noWrap/>
            <w:vAlign w:val="center"/>
          </w:tcPr>
          <w:p w14:paraId="7683227D" w14:textId="7777777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de-DE"/>
              </w:rPr>
            </w:pPr>
            <w:r w:rsidRPr="008C1184">
              <w:rPr>
                <w:rFonts w:ascii="Times New Roman" w:eastAsia="Times New Roman" w:hAnsi="Times New Roman" w:cs="Times New Roman"/>
                <w:b/>
                <w:sz w:val="24"/>
                <w:szCs w:val="24"/>
                <w:lang w:val="en-US" w:eastAsia="de-DE"/>
              </w:rPr>
              <w:t>HR</w:t>
            </w:r>
          </w:p>
        </w:tc>
        <w:tc>
          <w:tcPr>
            <w:tcW w:w="1958" w:type="dxa"/>
            <w:tcBorders>
              <w:top w:val="single" w:sz="18" w:space="0" w:color="000000"/>
              <w:left w:val="nil"/>
              <w:bottom w:val="single" w:sz="12" w:space="0" w:color="000000"/>
            </w:tcBorders>
            <w:shd w:val="clear" w:color="auto" w:fill="auto"/>
            <w:noWrap/>
            <w:vAlign w:val="center"/>
          </w:tcPr>
          <w:p w14:paraId="1FCF0FDD" w14:textId="7777777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de-DE"/>
              </w:rPr>
            </w:pPr>
            <w:r w:rsidRPr="008C1184">
              <w:rPr>
                <w:rFonts w:ascii="Times New Roman" w:eastAsia="Times New Roman" w:hAnsi="Times New Roman" w:cs="Times New Roman"/>
                <w:b/>
                <w:sz w:val="24"/>
                <w:szCs w:val="24"/>
                <w:lang w:val="en-US" w:eastAsia="de-DE"/>
              </w:rPr>
              <w:t>95% CI</w:t>
            </w:r>
          </w:p>
        </w:tc>
        <w:tc>
          <w:tcPr>
            <w:tcW w:w="2824" w:type="dxa"/>
            <w:tcBorders>
              <w:top w:val="single" w:sz="18" w:space="0" w:color="000000"/>
              <w:left w:val="nil"/>
              <w:bottom w:val="single" w:sz="12" w:space="0" w:color="000000"/>
            </w:tcBorders>
            <w:vAlign w:val="center"/>
          </w:tcPr>
          <w:p w14:paraId="65A05BB0" w14:textId="7777777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de-DE"/>
              </w:rPr>
            </w:pPr>
            <w:r w:rsidRPr="008C1184">
              <w:rPr>
                <w:rFonts w:ascii="Times New Roman" w:eastAsia="Times New Roman" w:hAnsi="Times New Roman" w:cs="Times New Roman"/>
                <w:b/>
                <w:sz w:val="24"/>
                <w:szCs w:val="24"/>
                <w:lang w:val="en-US" w:eastAsia="de-DE"/>
              </w:rPr>
              <w:t>P-value</w:t>
            </w:r>
          </w:p>
        </w:tc>
      </w:tr>
      <w:tr w:rsidR="008C1184" w:rsidRPr="008C1184" w14:paraId="0C74DE8E" w14:textId="77777777" w:rsidTr="00294045">
        <w:trPr>
          <w:trHeight w:val="768"/>
          <w:jc w:val="center"/>
        </w:trPr>
        <w:tc>
          <w:tcPr>
            <w:tcW w:w="2455" w:type="dxa"/>
            <w:tcBorders>
              <w:top w:val="single" w:sz="12" w:space="0" w:color="000000"/>
              <w:bottom w:val="single" w:sz="4" w:space="0" w:color="auto"/>
            </w:tcBorders>
            <w:shd w:val="clear" w:color="auto" w:fill="auto"/>
            <w:noWrap/>
            <w:vAlign w:val="center"/>
          </w:tcPr>
          <w:p w14:paraId="60161385" w14:textId="7777777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ja-JP"/>
              </w:rPr>
            </w:pPr>
            <w:r w:rsidRPr="008C1184">
              <w:rPr>
                <w:rFonts w:ascii="Times New Roman" w:eastAsia="Times New Roman" w:hAnsi="Times New Roman" w:cs="Times New Roman"/>
                <w:sz w:val="24"/>
                <w:szCs w:val="24"/>
                <w:lang w:val="en-US" w:eastAsia="ja-JP"/>
              </w:rPr>
              <w:t>No probiotic CBT (Reference)</w:t>
            </w:r>
          </w:p>
        </w:tc>
        <w:tc>
          <w:tcPr>
            <w:tcW w:w="1542" w:type="dxa"/>
            <w:tcBorders>
              <w:top w:val="single" w:sz="12" w:space="0" w:color="000000"/>
              <w:left w:val="nil"/>
              <w:bottom w:val="single" w:sz="4" w:space="0" w:color="auto"/>
            </w:tcBorders>
            <w:shd w:val="clear" w:color="auto" w:fill="auto"/>
            <w:noWrap/>
            <w:vAlign w:val="center"/>
          </w:tcPr>
          <w:p w14:paraId="49F7C974" w14:textId="7777777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de-DE"/>
              </w:rPr>
            </w:pPr>
          </w:p>
        </w:tc>
        <w:tc>
          <w:tcPr>
            <w:tcW w:w="1958" w:type="dxa"/>
            <w:tcBorders>
              <w:top w:val="single" w:sz="12" w:space="0" w:color="000000"/>
              <w:left w:val="nil"/>
              <w:bottom w:val="single" w:sz="4" w:space="0" w:color="auto"/>
            </w:tcBorders>
            <w:shd w:val="clear" w:color="auto" w:fill="auto"/>
            <w:noWrap/>
            <w:vAlign w:val="center"/>
          </w:tcPr>
          <w:p w14:paraId="41F855CF" w14:textId="7777777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de-DE"/>
              </w:rPr>
            </w:pPr>
          </w:p>
        </w:tc>
        <w:tc>
          <w:tcPr>
            <w:tcW w:w="2824" w:type="dxa"/>
            <w:tcBorders>
              <w:top w:val="single" w:sz="12" w:space="0" w:color="000000"/>
              <w:left w:val="nil"/>
              <w:bottom w:val="single" w:sz="4" w:space="0" w:color="auto"/>
            </w:tcBorders>
            <w:vAlign w:val="center"/>
          </w:tcPr>
          <w:p w14:paraId="6F00CAE6" w14:textId="7777777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de-DE"/>
              </w:rPr>
            </w:pPr>
          </w:p>
        </w:tc>
      </w:tr>
      <w:tr w:rsidR="008C1184" w:rsidRPr="008C1184" w14:paraId="760E6AC4" w14:textId="77777777" w:rsidTr="00294045">
        <w:trPr>
          <w:trHeight w:val="670"/>
          <w:jc w:val="center"/>
        </w:trPr>
        <w:tc>
          <w:tcPr>
            <w:tcW w:w="2455" w:type="dxa"/>
            <w:tcBorders>
              <w:top w:val="single" w:sz="4" w:space="0" w:color="auto"/>
              <w:bottom w:val="single" w:sz="18" w:space="0" w:color="000000"/>
            </w:tcBorders>
            <w:shd w:val="clear" w:color="auto" w:fill="auto"/>
            <w:noWrap/>
            <w:vAlign w:val="center"/>
          </w:tcPr>
          <w:p w14:paraId="7A8AB0F1" w14:textId="7777777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ja-JP"/>
              </w:rPr>
            </w:pPr>
            <w:r w:rsidRPr="008C1184">
              <w:rPr>
                <w:rFonts w:ascii="Times New Roman" w:eastAsia="Times New Roman" w:hAnsi="Times New Roman" w:cs="Times New Roman"/>
                <w:sz w:val="24"/>
                <w:szCs w:val="24"/>
                <w:lang w:val="en-US" w:eastAsia="ja-JP"/>
              </w:rPr>
              <w:t>Probiotic CBT</w:t>
            </w:r>
          </w:p>
        </w:tc>
        <w:tc>
          <w:tcPr>
            <w:tcW w:w="1542" w:type="dxa"/>
            <w:tcBorders>
              <w:top w:val="single" w:sz="4" w:space="0" w:color="auto"/>
              <w:left w:val="nil"/>
              <w:bottom w:val="single" w:sz="18" w:space="0" w:color="000000"/>
            </w:tcBorders>
            <w:shd w:val="clear" w:color="auto" w:fill="auto"/>
            <w:noWrap/>
            <w:vAlign w:val="center"/>
          </w:tcPr>
          <w:p w14:paraId="35B31911" w14:textId="0C807DD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de-DE"/>
              </w:rPr>
            </w:pPr>
            <w:r w:rsidRPr="008C1184">
              <w:rPr>
                <w:rFonts w:ascii="Times New Roman" w:eastAsia="Times New Roman" w:hAnsi="Times New Roman" w:cs="Times New Roman"/>
                <w:sz w:val="24"/>
                <w:szCs w:val="24"/>
                <w:lang w:val="en-US" w:eastAsia="de-DE"/>
              </w:rPr>
              <w:t>0.</w:t>
            </w:r>
            <w:r w:rsidR="00F95404">
              <w:rPr>
                <w:rFonts w:ascii="Times New Roman" w:eastAsia="Times New Roman" w:hAnsi="Times New Roman" w:cs="Times New Roman"/>
                <w:sz w:val="24"/>
                <w:szCs w:val="24"/>
                <w:lang w:val="en-US" w:eastAsia="de-DE"/>
              </w:rPr>
              <w:t>20</w:t>
            </w:r>
          </w:p>
        </w:tc>
        <w:tc>
          <w:tcPr>
            <w:tcW w:w="1958" w:type="dxa"/>
            <w:tcBorders>
              <w:top w:val="single" w:sz="4" w:space="0" w:color="auto"/>
              <w:left w:val="nil"/>
              <w:bottom w:val="single" w:sz="18" w:space="0" w:color="000000"/>
            </w:tcBorders>
            <w:shd w:val="clear" w:color="auto" w:fill="auto"/>
            <w:noWrap/>
            <w:vAlign w:val="center"/>
          </w:tcPr>
          <w:p w14:paraId="32D58368" w14:textId="33D50D80" w:rsidR="008C1184" w:rsidRPr="008C1184" w:rsidRDefault="00FE11A1" w:rsidP="00294045">
            <w:pPr>
              <w:spacing w:after="0" w:line="240" w:lineRule="auto"/>
              <w:jc w:val="center"/>
              <w:rPr>
                <w:rFonts w:ascii="Times New Roman" w:eastAsia="Times New Roman" w:hAnsi="Times New Roman" w:cs="Times New Roman"/>
                <w:sz w:val="24"/>
                <w:szCs w:val="24"/>
                <w:lang w:val="en-US" w:eastAsia="de-DE"/>
              </w:rPr>
            </w:pPr>
            <w:r w:rsidRPr="008C1184">
              <w:rPr>
                <w:rFonts w:ascii="Times New Roman" w:eastAsia="Times New Roman" w:hAnsi="Times New Roman" w:cs="Times New Roman"/>
                <w:sz w:val="24"/>
                <w:szCs w:val="24"/>
                <w:lang w:val="en-US" w:eastAsia="de-DE"/>
              </w:rPr>
              <w:t>0.0</w:t>
            </w:r>
            <w:r>
              <w:rPr>
                <w:rFonts w:ascii="Times New Roman" w:eastAsia="Times New Roman" w:hAnsi="Times New Roman" w:cs="Times New Roman"/>
                <w:sz w:val="24"/>
                <w:szCs w:val="24"/>
                <w:lang w:val="en-US" w:eastAsia="de-DE"/>
              </w:rPr>
              <w:t>8</w:t>
            </w:r>
            <w:r w:rsidRPr="008C1184">
              <w:rPr>
                <w:rFonts w:ascii="Times New Roman" w:eastAsia="Times New Roman" w:hAnsi="Times New Roman" w:cs="Times New Roman"/>
                <w:sz w:val="24"/>
                <w:szCs w:val="24"/>
                <w:lang w:val="en-US" w:eastAsia="de-DE"/>
              </w:rPr>
              <w:t>-0.</w:t>
            </w:r>
            <w:r>
              <w:rPr>
                <w:rFonts w:ascii="Times New Roman" w:eastAsia="Times New Roman" w:hAnsi="Times New Roman" w:cs="Times New Roman"/>
                <w:sz w:val="24"/>
                <w:szCs w:val="24"/>
                <w:lang w:val="en-US" w:eastAsia="de-DE"/>
              </w:rPr>
              <w:t>50</w:t>
            </w:r>
          </w:p>
        </w:tc>
        <w:tc>
          <w:tcPr>
            <w:tcW w:w="2824" w:type="dxa"/>
            <w:tcBorders>
              <w:top w:val="single" w:sz="4" w:space="0" w:color="auto"/>
              <w:left w:val="nil"/>
              <w:bottom w:val="single" w:sz="18" w:space="0" w:color="000000"/>
            </w:tcBorders>
            <w:vAlign w:val="center"/>
          </w:tcPr>
          <w:p w14:paraId="441F0BA4" w14:textId="77777777" w:rsidR="008C1184" w:rsidRPr="008C1184" w:rsidRDefault="008C1184" w:rsidP="00294045">
            <w:pPr>
              <w:spacing w:after="0" w:line="240" w:lineRule="auto"/>
              <w:jc w:val="center"/>
              <w:rPr>
                <w:rFonts w:ascii="Times New Roman" w:eastAsia="Times New Roman" w:hAnsi="Times New Roman" w:cs="Times New Roman"/>
                <w:sz w:val="24"/>
                <w:szCs w:val="24"/>
                <w:lang w:val="en-US" w:eastAsia="de-DE"/>
              </w:rPr>
            </w:pPr>
            <w:r w:rsidRPr="008C1184">
              <w:rPr>
                <w:rFonts w:ascii="Times New Roman" w:eastAsia="Times New Roman" w:hAnsi="Times New Roman" w:cs="Times New Roman"/>
                <w:sz w:val="24"/>
                <w:szCs w:val="24"/>
                <w:lang w:val="en-US" w:eastAsia="de-DE"/>
              </w:rPr>
              <w:t>P</w:t>
            </w:r>
            <w:r w:rsidRPr="008C1184">
              <w:rPr>
                <w:rFonts w:ascii="Times New Roman" w:eastAsiaTheme="minorEastAsia" w:hAnsi="Times New Roman" w:cs="Times New Roman"/>
                <w:sz w:val="24"/>
                <w:szCs w:val="24"/>
                <w:lang w:val="en-US" w:eastAsia="ja-JP"/>
              </w:rPr>
              <w:t xml:space="preserve"> </w:t>
            </w:r>
            <w:r w:rsidRPr="008C1184">
              <w:rPr>
                <w:rFonts w:ascii="Times New Roman" w:eastAsia="Times New Roman" w:hAnsi="Times New Roman" w:cs="Times New Roman"/>
                <w:sz w:val="24"/>
                <w:szCs w:val="24"/>
                <w:lang w:val="en-US" w:eastAsia="de-DE"/>
              </w:rPr>
              <w:t>&lt; 0.001</w:t>
            </w:r>
          </w:p>
        </w:tc>
      </w:tr>
    </w:tbl>
    <w:p w14:paraId="2222D964" w14:textId="77777777" w:rsidR="008C1184" w:rsidRPr="008C1184" w:rsidRDefault="008C1184" w:rsidP="008C1184">
      <w:pPr>
        <w:spacing w:line="480" w:lineRule="auto"/>
        <w:rPr>
          <w:rFonts w:ascii="Times New Roman" w:eastAsiaTheme="minorEastAsia" w:hAnsi="Times New Roman" w:cs="Times New Roman"/>
          <w:sz w:val="12"/>
          <w:szCs w:val="12"/>
          <w:lang w:val="en-US" w:eastAsia="ja-JP"/>
        </w:rPr>
      </w:pPr>
    </w:p>
    <w:p w14:paraId="2DFA924B" w14:textId="3419CB51" w:rsidR="008C1184" w:rsidRPr="008C1184" w:rsidRDefault="008C1184" w:rsidP="008C1184">
      <w:pPr>
        <w:pStyle w:val="p1"/>
        <w:spacing w:line="480" w:lineRule="auto"/>
        <w:rPr>
          <w:rFonts w:ascii="Times New Roman" w:hAnsi="Times New Roman"/>
          <w:sz w:val="24"/>
          <w:szCs w:val="24"/>
        </w:rPr>
      </w:pPr>
      <w:r w:rsidRPr="008C1184">
        <w:rPr>
          <w:rFonts w:ascii="Times New Roman" w:hAnsi="Times New Roman"/>
          <w:sz w:val="24"/>
          <w:szCs w:val="24"/>
        </w:rPr>
        <w:t>Cox proportional hazards regression models with inverse probability of treatment weighting (IPTW) and robust standard errors were used to obtain hazard ratio (HR). The propensity score was calculated using the logistic regression model</w:t>
      </w:r>
      <w:r w:rsidR="00A27952">
        <w:rPr>
          <w:rFonts w:ascii="Times New Roman" w:hAnsi="Times New Roman"/>
          <w:sz w:val="24"/>
          <w:szCs w:val="24"/>
        </w:rPr>
        <w:t>s</w:t>
      </w:r>
      <w:r w:rsidRPr="008C1184">
        <w:rPr>
          <w:rFonts w:ascii="Times New Roman" w:hAnsi="Times New Roman"/>
          <w:sz w:val="24"/>
          <w:szCs w:val="24"/>
        </w:rPr>
        <w:t xml:space="preserve">, in which age, sex, </w:t>
      </w:r>
      <w:r w:rsidR="008B7699">
        <w:rPr>
          <w:rFonts w:ascii="Times New Roman" w:hAnsi="Times New Roman"/>
          <w:sz w:val="24"/>
          <w:szCs w:val="24"/>
        </w:rPr>
        <w:t xml:space="preserve">body weight, ECOG </w:t>
      </w:r>
      <w:r w:rsidRPr="008C1184">
        <w:rPr>
          <w:rFonts w:ascii="Times New Roman" w:hAnsi="Times New Roman"/>
          <w:sz w:val="24"/>
          <w:szCs w:val="24"/>
        </w:rPr>
        <w:t>performance status,</w:t>
      </w:r>
      <w:r w:rsidRPr="008C1184">
        <w:rPr>
          <w:rFonts w:ascii="Times New Roman" w:hAnsi="Times New Roman"/>
        </w:rPr>
        <w:t xml:space="preserve"> </w:t>
      </w:r>
      <w:r w:rsidRPr="008C1184">
        <w:rPr>
          <w:rFonts w:ascii="Times New Roman" w:hAnsi="Times New Roman"/>
          <w:sz w:val="24"/>
          <w:szCs w:val="24"/>
        </w:rPr>
        <w:t>histology, smoking history, initial stage, ICI therapy line, ICI mono</w:t>
      </w:r>
      <w:r w:rsidR="008B7699">
        <w:rPr>
          <w:rFonts w:ascii="Times New Roman" w:hAnsi="Times New Roman"/>
          <w:sz w:val="24"/>
          <w:szCs w:val="24"/>
        </w:rPr>
        <w:t>therapy/combination therapy,</w:t>
      </w:r>
      <w:r w:rsidRPr="008C1184">
        <w:rPr>
          <w:rFonts w:ascii="Times New Roman" w:hAnsi="Times New Roman"/>
          <w:sz w:val="24"/>
          <w:szCs w:val="24"/>
        </w:rPr>
        <w:t xml:space="preserve"> PD-L1 status</w:t>
      </w:r>
      <w:r w:rsidR="008B7699">
        <w:rPr>
          <w:rFonts w:ascii="Times New Roman" w:hAnsi="Times New Roman"/>
          <w:sz w:val="24"/>
          <w:szCs w:val="24"/>
        </w:rPr>
        <w:t>, and</w:t>
      </w:r>
      <w:r w:rsidR="008B7699" w:rsidRPr="008B7699">
        <w:rPr>
          <w:rFonts w:ascii="Times New Roman" w:hAnsi="Times New Roman"/>
          <w:sz w:val="24"/>
          <w:szCs w:val="24"/>
        </w:rPr>
        <w:t xml:space="preserve"> </w:t>
      </w:r>
      <w:r w:rsidR="00FE11A1">
        <w:rPr>
          <w:rFonts w:ascii="Times New Roman" w:hAnsi="Times New Roman"/>
          <w:color w:val="000000" w:themeColor="text1"/>
          <w:sz w:val="24"/>
          <w:szCs w:val="24"/>
        </w:rPr>
        <w:t>diarrhea</w:t>
      </w:r>
      <w:r w:rsidRPr="008B7699">
        <w:rPr>
          <w:rFonts w:ascii="Times New Roman" w:hAnsi="Times New Roman"/>
          <w:sz w:val="24"/>
          <w:szCs w:val="24"/>
        </w:rPr>
        <w:t xml:space="preserve"> </w:t>
      </w:r>
      <w:r w:rsidR="00136D0C">
        <w:rPr>
          <w:rFonts w:ascii="Times New Roman" w:hAnsi="Times New Roman"/>
          <w:sz w:val="24"/>
          <w:szCs w:val="24"/>
        </w:rPr>
        <w:t xml:space="preserve">during ICI therapy </w:t>
      </w:r>
      <w:r w:rsidRPr="008C1184">
        <w:rPr>
          <w:rFonts w:ascii="Times New Roman" w:hAnsi="Times New Roman"/>
          <w:sz w:val="24"/>
          <w:szCs w:val="24"/>
        </w:rPr>
        <w:t xml:space="preserve">were used as background factors. </w:t>
      </w:r>
      <w:r w:rsidR="00136D0C">
        <w:rPr>
          <w:rFonts w:ascii="Times New Roman" w:hAnsi="Times New Roman"/>
          <w:sz w:val="24"/>
          <w:szCs w:val="24"/>
        </w:rPr>
        <w:t xml:space="preserve">The </w:t>
      </w:r>
      <w:r w:rsidR="00136D0C">
        <w:rPr>
          <w:rFonts w:ascii="Times New Roman" w:hAnsi="Times New Roman"/>
          <w:color w:val="000000" w:themeColor="text1"/>
          <w:sz w:val="24"/>
          <w:szCs w:val="24"/>
        </w:rPr>
        <w:t>diarrhea</w:t>
      </w:r>
      <w:r w:rsidR="00136D0C">
        <w:rPr>
          <w:rFonts w:ascii="Times New Roman" w:hAnsi="Times New Roman"/>
          <w:sz w:val="24"/>
          <w:szCs w:val="24"/>
        </w:rPr>
        <w:t xml:space="preserve"> during ICI therapy</w:t>
      </w:r>
      <w:r w:rsidR="00136D0C" w:rsidRPr="008B7699">
        <w:rPr>
          <w:rFonts w:ascii="Times New Roman" w:hAnsi="Times New Roman"/>
          <w:sz w:val="24"/>
          <w:szCs w:val="24"/>
        </w:rPr>
        <w:t xml:space="preserve"> </w:t>
      </w:r>
      <w:r w:rsidR="00136D0C">
        <w:rPr>
          <w:rFonts w:ascii="Times New Roman" w:hAnsi="Times New Roman"/>
          <w:sz w:val="24"/>
          <w:szCs w:val="24"/>
        </w:rPr>
        <w:t>includes 5 patients who h</w:t>
      </w:r>
      <w:r w:rsidR="00136D0C" w:rsidRPr="00136D0C">
        <w:rPr>
          <w:rFonts w:ascii="Times New Roman" w:hAnsi="Times New Roman"/>
          <w:sz w:val="24"/>
          <w:szCs w:val="24"/>
        </w:rPr>
        <w:t xml:space="preserve">ad </w:t>
      </w:r>
      <w:r w:rsidR="00136D0C" w:rsidRPr="00136D0C">
        <w:rPr>
          <w:rFonts w:ascii="Times New Roman" w:hAnsi="Times New Roman"/>
          <w:color w:val="000000" w:themeColor="text1"/>
          <w:sz w:val="24"/>
          <w:szCs w:val="24"/>
        </w:rPr>
        <w:t>endoscopically confirmed immune-related enterocolitis</w:t>
      </w:r>
      <w:r w:rsidR="00136D0C">
        <w:rPr>
          <w:rFonts w:ascii="Times New Roman" w:hAnsi="Times New Roman"/>
          <w:color w:val="000000" w:themeColor="text1"/>
          <w:sz w:val="24"/>
          <w:szCs w:val="24"/>
        </w:rPr>
        <w:t xml:space="preserve"> (</w:t>
      </w:r>
      <w:r w:rsidR="00136D0C">
        <w:rPr>
          <w:rFonts w:ascii="Times New Roman" w:hAnsi="Times New Roman"/>
          <w:b/>
          <w:color w:val="000000" w:themeColor="text1"/>
          <w:sz w:val="24"/>
          <w:szCs w:val="24"/>
        </w:rPr>
        <w:t>Supplementary T</w:t>
      </w:r>
      <w:r w:rsidR="00136D0C" w:rsidRPr="00337C05">
        <w:rPr>
          <w:rFonts w:ascii="Times New Roman" w:hAnsi="Times New Roman"/>
          <w:b/>
          <w:color w:val="000000" w:themeColor="text1"/>
          <w:sz w:val="24"/>
          <w:szCs w:val="24"/>
        </w:rPr>
        <w:t>able S1</w:t>
      </w:r>
      <w:r w:rsidR="00136D0C">
        <w:rPr>
          <w:rFonts w:ascii="Times New Roman" w:hAnsi="Times New Roman"/>
          <w:color w:val="000000" w:themeColor="text1"/>
          <w:sz w:val="24"/>
          <w:szCs w:val="24"/>
        </w:rPr>
        <w:t>)</w:t>
      </w:r>
      <w:r w:rsidR="00136D0C" w:rsidRPr="00136D0C">
        <w:rPr>
          <w:rFonts w:ascii="Times New Roman" w:hAnsi="Times New Roman"/>
          <w:color w:val="000000" w:themeColor="text1"/>
          <w:sz w:val="24"/>
          <w:szCs w:val="24"/>
        </w:rPr>
        <w:t xml:space="preserve">. </w:t>
      </w:r>
      <w:r w:rsidRPr="008C1184">
        <w:rPr>
          <w:rFonts w:ascii="Times New Roman" w:hAnsi="Times New Roman"/>
          <w:sz w:val="24"/>
          <w:szCs w:val="24"/>
        </w:rPr>
        <w:t>Each factor was categorized a</w:t>
      </w:r>
      <w:r w:rsidR="00FE11A1">
        <w:rPr>
          <w:rFonts w:ascii="Times New Roman" w:hAnsi="Times New Roman"/>
          <w:sz w:val="24"/>
          <w:szCs w:val="24"/>
        </w:rPr>
        <w:t>s shown i</w:t>
      </w:r>
      <w:r w:rsidR="00FE11A1" w:rsidRPr="00337C05">
        <w:rPr>
          <w:rFonts w:ascii="Times New Roman" w:hAnsi="Times New Roman"/>
          <w:color w:val="000000" w:themeColor="text1"/>
          <w:sz w:val="24"/>
          <w:szCs w:val="24"/>
        </w:rPr>
        <w:t xml:space="preserve">n the </w:t>
      </w:r>
      <w:r w:rsidR="00FE11A1" w:rsidRPr="00337C05">
        <w:rPr>
          <w:rFonts w:ascii="Times New Roman" w:hAnsi="Times New Roman"/>
          <w:b/>
          <w:color w:val="000000" w:themeColor="text1"/>
          <w:sz w:val="24"/>
          <w:szCs w:val="24"/>
        </w:rPr>
        <w:t>Tabl</w:t>
      </w:r>
      <w:r w:rsidR="00136D0C">
        <w:rPr>
          <w:rFonts w:ascii="Times New Roman" w:hAnsi="Times New Roman"/>
          <w:b/>
          <w:color w:val="000000" w:themeColor="text1"/>
          <w:sz w:val="24"/>
          <w:szCs w:val="24"/>
        </w:rPr>
        <w:t>e 1 and Supplementary T</w:t>
      </w:r>
      <w:r w:rsidR="00FE11A1" w:rsidRPr="00337C05">
        <w:rPr>
          <w:rFonts w:ascii="Times New Roman" w:hAnsi="Times New Roman"/>
          <w:b/>
          <w:color w:val="000000" w:themeColor="text1"/>
          <w:sz w:val="24"/>
          <w:szCs w:val="24"/>
        </w:rPr>
        <w:t>able S1</w:t>
      </w:r>
      <w:r w:rsidR="00A27952">
        <w:rPr>
          <w:rFonts w:ascii="Times New Roman" w:hAnsi="Times New Roman"/>
          <w:color w:val="000000" w:themeColor="text1"/>
          <w:sz w:val="24"/>
          <w:szCs w:val="24"/>
        </w:rPr>
        <w:t xml:space="preserve">.  Abbreviations: </w:t>
      </w:r>
      <w:bookmarkStart w:id="0" w:name="_GoBack"/>
      <w:bookmarkEnd w:id="0"/>
      <w:r w:rsidRPr="00337C05">
        <w:rPr>
          <w:rFonts w:ascii="Times New Roman" w:hAnsi="Times New Roman"/>
          <w:color w:val="000000" w:themeColor="text1"/>
          <w:sz w:val="24"/>
          <w:szCs w:val="24"/>
        </w:rPr>
        <w:t>CI, Confidence</w:t>
      </w:r>
      <w:r w:rsidRPr="008C1184">
        <w:rPr>
          <w:rFonts w:ascii="Times New Roman" w:hAnsi="Times New Roman"/>
          <w:sz w:val="24"/>
          <w:szCs w:val="24"/>
        </w:rPr>
        <w:t xml:space="preserve"> interval; CBT, </w:t>
      </w:r>
      <w:r w:rsidRPr="008C1184">
        <w:rPr>
          <w:rFonts w:ascii="Times New Roman" w:eastAsia="ＭＳ Ｐゴシック" w:hAnsi="Times New Roman"/>
          <w:bCs/>
          <w:i/>
          <w:iCs/>
          <w:sz w:val="24"/>
          <w:szCs w:val="24"/>
        </w:rPr>
        <w:t>Clostridium butyricum</w:t>
      </w:r>
      <w:r w:rsidRPr="008C1184">
        <w:rPr>
          <w:rFonts w:ascii="Times New Roman" w:hAnsi="Times New Roman"/>
          <w:sz w:val="24"/>
          <w:szCs w:val="24"/>
        </w:rPr>
        <w:t xml:space="preserve"> therapy; ICI, Immune checkpoint inhibitor; PD-L1, Programmed cell death ligand1</w:t>
      </w:r>
    </w:p>
    <w:p w14:paraId="536D3F4F" w14:textId="1CFDC356" w:rsidR="00E166C2" w:rsidRPr="00B85DBB" w:rsidRDefault="00E166C2" w:rsidP="00B85DBB">
      <w:pPr>
        <w:spacing w:after="0" w:line="240" w:lineRule="auto"/>
      </w:pPr>
    </w:p>
    <w:sectPr w:rsidR="00E166C2" w:rsidRPr="00B85DBB" w:rsidSect="006C2D83">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4366" w16cex:dateUtc="2020-05-13T00:59:00Z"/>
  <w16cex:commentExtensible w16cex:durableId="226643A4" w16cex:dateUtc="2020-05-13T00:59:00Z"/>
  <w16cex:commentExtensible w16cex:durableId="226643D5" w16cex:dateUtc="2020-05-13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A3EF70" w16cid:durableId="22664366"/>
  <w16cid:commentId w16cid:paraId="7A82285A" w16cid:durableId="226643A4"/>
  <w16cid:commentId w16cid:paraId="6F709A54" w16cid:durableId="226643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84"/>
    <w:rsid w:val="00030E29"/>
    <w:rsid w:val="000B4B61"/>
    <w:rsid w:val="000D0B33"/>
    <w:rsid w:val="00136D0C"/>
    <w:rsid w:val="00176729"/>
    <w:rsid w:val="001C1435"/>
    <w:rsid w:val="002B5344"/>
    <w:rsid w:val="002C6117"/>
    <w:rsid w:val="002E213D"/>
    <w:rsid w:val="00337C05"/>
    <w:rsid w:val="00376769"/>
    <w:rsid w:val="00456B44"/>
    <w:rsid w:val="00470C10"/>
    <w:rsid w:val="0050193C"/>
    <w:rsid w:val="005104EC"/>
    <w:rsid w:val="00517D77"/>
    <w:rsid w:val="00591954"/>
    <w:rsid w:val="005E3226"/>
    <w:rsid w:val="00633598"/>
    <w:rsid w:val="007106E2"/>
    <w:rsid w:val="00757E8C"/>
    <w:rsid w:val="007722AD"/>
    <w:rsid w:val="007D4DDC"/>
    <w:rsid w:val="00814AA0"/>
    <w:rsid w:val="00866774"/>
    <w:rsid w:val="008B7699"/>
    <w:rsid w:val="008C1184"/>
    <w:rsid w:val="008E40AD"/>
    <w:rsid w:val="0092293C"/>
    <w:rsid w:val="009505DD"/>
    <w:rsid w:val="00A27952"/>
    <w:rsid w:val="00AD048F"/>
    <w:rsid w:val="00AF51C9"/>
    <w:rsid w:val="00B769A3"/>
    <w:rsid w:val="00B85DBB"/>
    <w:rsid w:val="00CE54FF"/>
    <w:rsid w:val="00D74C1C"/>
    <w:rsid w:val="00D91BF0"/>
    <w:rsid w:val="00D93B86"/>
    <w:rsid w:val="00E166C2"/>
    <w:rsid w:val="00F26367"/>
    <w:rsid w:val="00F81CF2"/>
    <w:rsid w:val="00F95404"/>
    <w:rsid w:val="00FB02BE"/>
    <w:rsid w:val="00FE11A1"/>
    <w:rsid w:val="00FF3D7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7FC5CC"/>
  <w15:chartTrackingRefBased/>
  <w15:docId w15:val="{6147FBE5-FB46-43D9-A663-5AE8A536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C1184"/>
    <w:pPr>
      <w:spacing w:after="200" w:line="276" w:lineRule="auto"/>
    </w:pPr>
    <w:rPr>
      <w:rFonts w:eastAsiaTheme="minorHAnsi"/>
      <w:kern w:val="0"/>
      <w:sz w:val="22"/>
      <w:lang w:val="de-A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C1184"/>
    <w:pPr>
      <w:spacing w:after="0" w:line="240" w:lineRule="auto"/>
    </w:pPr>
    <w:rPr>
      <w:rFonts w:ascii="Times" w:eastAsiaTheme="minorEastAsia" w:hAnsi="Times" w:cs="Times New Roman"/>
      <w:sz w:val="14"/>
      <w:szCs w:val="14"/>
      <w:lang w:val="en-US" w:eastAsia="ja-JP"/>
    </w:rPr>
  </w:style>
  <w:style w:type="character" w:styleId="a3">
    <w:name w:val="annotation reference"/>
    <w:basedOn w:val="a0"/>
    <w:uiPriority w:val="99"/>
    <w:semiHidden/>
    <w:unhideWhenUsed/>
    <w:rsid w:val="00866774"/>
    <w:rPr>
      <w:sz w:val="18"/>
      <w:szCs w:val="18"/>
    </w:rPr>
  </w:style>
  <w:style w:type="paragraph" w:styleId="a4">
    <w:name w:val="annotation text"/>
    <w:basedOn w:val="a"/>
    <w:link w:val="a5"/>
    <w:uiPriority w:val="99"/>
    <w:semiHidden/>
    <w:unhideWhenUsed/>
    <w:rsid w:val="00866774"/>
  </w:style>
  <w:style w:type="character" w:customStyle="1" w:styleId="a5">
    <w:name w:val="コメント文字列 (文字)"/>
    <w:basedOn w:val="a0"/>
    <w:link w:val="a4"/>
    <w:uiPriority w:val="99"/>
    <w:semiHidden/>
    <w:rsid w:val="00866774"/>
    <w:rPr>
      <w:rFonts w:eastAsiaTheme="minorHAnsi"/>
      <w:kern w:val="0"/>
      <w:sz w:val="22"/>
      <w:lang w:val="de-AT" w:eastAsia="en-US"/>
    </w:rPr>
  </w:style>
  <w:style w:type="paragraph" w:styleId="a6">
    <w:name w:val="annotation subject"/>
    <w:basedOn w:val="a4"/>
    <w:next w:val="a4"/>
    <w:link w:val="a7"/>
    <w:uiPriority w:val="99"/>
    <w:semiHidden/>
    <w:unhideWhenUsed/>
    <w:rsid w:val="00866774"/>
    <w:rPr>
      <w:b/>
      <w:bCs/>
    </w:rPr>
  </w:style>
  <w:style w:type="character" w:customStyle="1" w:styleId="a7">
    <w:name w:val="コメント内容 (文字)"/>
    <w:basedOn w:val="a5"/>
    <w:link w:val="a6"/>
    <w:uiPriority w:val="99"/>
    <w:semiHidden/>
    <w:rsid w:val="00866774"/>
    <w:rPr>
      <w:rFonts w:eastAsiaTheme="minorHAnsi"/>
      <w:b/>
      <w:bCs/>
      <w:kern w:val="0"/>
      <w:sz w:val="22"/>
      <w:lang w:val="de-AT" w:eastAsia="en-US"/>
    </w:rPr>
  </w:style>
  <w:style w:type="paragraph" w:styleId="a8">
    <w:name w:val="Balloon Text"/>
    <w:basedOn w:val="a"/>
    <w:link w:val="a9"/>
    <w:uiPriority w:val="99"/>
    <w:semiHidden/>
    <w:unhideWhenUsed/>
    <w:rsid w:val="00866774"/>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6774"/>
    <w:rPr>
      <w:rFonts w:asciiTheme="majorHAnsi" w:eastAsiaTheme="majorEastAsia" w:hAnsiTheme="majorHAnsi" w:cstheme="majorBidi"/>
      <w:kern w:val="0"/>
      <w:sz w:val="18"/>
      <w:szCs w:val="18"/>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16/09/relationships/commentsIds" Target="commentsIds.xml"/><Relationship Id="rId7" Type="http://schemas.microsoft.com/office/2018/08/relationships/commentsExtensible" Target="commentsExtensib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1001</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 tokunori</dc:creator>
  <cp:keywords/>
  <dc:description/>
  <cp:lastModifiedBy>冨田 雄介</cp:lastModifiedBy>
  <cp:revision>6</cp:revision>
  <dcterms:created xsi:type="dcterms:W3CDTF">2020-05-17T10:02:00Z</dcterms:created>
  <dcterms:modified xsi:type="dcterms:W3CDTF">2020-05-20T14:07:00Z</dcterms:modified>
</cp:coreProperties>
</file>