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D3B0" w14:textId="77777777" w:rsidR="00F70113" w:rsidRDefault="00F70113" w:rsidP="00DA55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B392AF" w14:textId="77777777" w:rsidR="00350E5A" w:rsidRDefault="00350E5A" w:rsidP="00DA55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0F3C95" w14:textId="77777777" w:rsidR="00350E5A" w:rsidRDefault="00350E5A" w:rsidP="00DA55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1EB082" w14:textId="34C0E90D" w:rsidR="00DA5564" w:rsidRDefault="004D58B1" w:rsidP="00350E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Supplementary </w:t>
      </w:r>
      <w:r w:rsidR="004C36A3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Table </w:t>
      </w:r>
      <w:r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4C36A3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="00FC6AEA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Indications and c</w:t>
      </w:r>
      <w:r w:rsidR="00164BCF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haracteristics </w:t>
      </w:r>
      <w:r w:rsidR="00EF3896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of </w:t>
      </w:r>
      <w:r w:rsidR="00FC6AEA" w:rsidRPr="00350E5A">
        <w:rPr>
          <w:rFonts w:ascii="Times New Roman" w:eastAsia="ＭＳ Ｐゴシック" w:hAnsi="Times New Roman"/>
          <w:b/>
          <w:bCs/>
          <w:color w:val="000000" w:themeColor="text1"/>
          <w:sz w:val="28"/>
          <w:szCs w:val="28"/>
        </w:rPr>
        <w:t>probiotic</w:t>
      </w:r>
      <w:r w:rsidR="00FC6AEA" w:rsidRPr="00350E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CBT</w:t>
      </w:r>
      <w:r w:rsidR="00FC6AEA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 </w:t>
      </w:r>
      <w:r w:rsidR="0013238E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NSCLC </w:t>
      </w:r>
      <w:r w:rsidR="00EF3896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patients </w:t>
      </w:r>
      <w:r w:rsidR="00366DB7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66DB7" w:rsidRPr="00350E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</w:t>
      </w:r>
      <w:r w:rsidR="00366DB7" w:rsidRPr="0035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=39)</w:t>
      </w:r>
    </w:p>
    <w:p w14:paraId="5FFC78CF" w14:textId="77777777" w:rsidR="00350E5A" w:rsidRPr="00350E5A" w:rsidRDefault="00350E5A" w:rsidP="00350E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7"/>
        <w:gridCol w:w="2410"/>
        <w:gridCol w:w="2835"/>
        <w:gridCol w:w="2551"/>
        <w:gridCol w:w="2609"/>
      </w:tblGrid>
      <w:tr w:rsidR="003707E1" w14:paraId="5730DF07" w14:textId="77777777" w:rsidTr="003707E1">
        <w:trPr>
          <w:trHeight w:val="703"/>
          <w:jc w:val="center"/>
        </w:trPr>
        <w:tc>
          <w:tcPr>
            <w:tcW w:w="3537" w:type="dxa"/>
            <w:tcBorders>
              <w:top w:val="single" w:sz="1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2D030231" w14:textId="7B1079A0" w:rsidR="00D8278F" w:rsidRPr="003707E1" w:rsidRDefault="00D8278F" w:rsidP="00E3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E1">
              <w:rPr>
                <w:rFonts w:ascii="Times New Roman" w:eastAsia="Times New Roman" w:hAnsi="Times New Roman" w:hint="eastAsia"/>
                <w:b/>
                <w:bCs/>
                <w:color w:val="000000" w:themeColor="text1"/>
                <w:sz w:val="18"/>
                <w:szCs w:val="18"/>
                <w:lang w:eastAsia="de-DE"/>
              </w:rPr>
              <w:t>I</w:t>
            </w:r>
            <w:r w:rsidRPr="003707E1">
              <w:rPr>
                <w:rFonts w:ascii="Times New Roman" w:eastAsia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dication for probiotic </w:t>
            </w:r>
            <w:proofErr w:type="spellStart"/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CBT</w:t>
            </w:r>
            <w:r w:rsidR="00E3145A" w:rsidRPr="00A57A58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6EE5F1D9" w14:textId="77777777" w:rsidR="00426B56" w:rsidRPr="003707E1" w:rsidRDefault="00D8278F" w:rsidP="00426B5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E1">
              <w:rPr>
                <w:rFonts w:ascii="Times New Roman" w:eastAsia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  <w:p w14:paraId="25B8E97C" w14:textId="067C1509" w:rsidR="00C002C6" w:rsidRPr="003707E1" w:rsidRDefault="00C002C6" w:rsidP="00426B5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=39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613FAFD7" w14:textId="77777777" w:rsidR="00D8278F" w:rsidRPr="003707E1" w:rsidRDefault="00D8278F" w:rsidP="00426B5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Before ICI initiation</w:t>
            </w:r>
          </w:p>
          <w:p w14:paraId="7A67947C" w14:textId="7E86356D" w:rsidR="00426B56" w:rsidRPr="003707E1" w:rsidRDefault="00426B56" w:rsidP="00426B5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="00A10C68"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5D308EF6" w14:textId="77777777" w:rsidR="00D8278F" w:rsidRPr="003707E1" w:rsidRDefault="00D8278F" w:rsidP="00426B5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During ICI therapy</w:t>
            </w:r>
          </w:p>
          <w:p w14:paraId="72B85B6B" w14:textId="478E699B" w:rsidR="00426B56" w:rsidRPr="003707E1" w:rsidRDefault="00426B56" w:rsidP="00426B5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A10C68"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22E2EE66" w14:textId="77777777" w:rsidR="00D8278F" w:rsidRPr="003707E1" w:rsidRDefault="00D8278F" w:rsidP="00F70113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Before and during ICI therapy</w:t>
            </w:r>
          </w:p>
          <w:p w14:paraId="25981A2C" w14:textId="064090BC" w:rsidR="00426B56" w:rsidRPr="003707E1" w:rsidRDefault="00426B56" w:rsidP="00F70113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A10C68"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</w:tr>
      <w:tr w:rsidR="003707E1" w14:paraId="2423AE1E" w14:textId="77777777" w:rsidTr="003707E1">
        <w:trPr>
          <w:trHeight w:val="542"/>
          <w:jc w:val="center"/>
        </w:trPr>
        <w:tc>
          <w:tcPr>
            <w:tcW w:w="3537" w:type="dxa"/>
            <w:tcBorders>
              <w:top w:val="single" w:sz="18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08E8EF9B" w14:textId="2025ECED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Diarrhea</w:t>
            </w:r>
            <w:r w:rsidR="003707E1"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, No. (%)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16DFF722" w14:textId="2542C4C8" w:rsidR="00555A50" w:rsidRPr="003707E1" w:rsidRDefault="00555A50" w:rsidP="00D8278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14</w:t>
            </w:r>
            <w:r w:rsid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(35.9%)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13F379BF" w14:textId="60115C30" w:rsidR="00555A50" w:rsidRPr="003707E1" w:rsidRDefault="00525B96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  <w:r w:rsidR="008C5B0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(44.4%)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14:paraId="7E925B57" w14:textId="3306C56C" w:rsidR="00555A50" w:rsidRPr="003707E1" w:rsidRDefault="00525B96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  <w:r w:rsidR="008C5B0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(50.0%)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14:paraId="4FC71955" w14:textId="5210EDB9" w:rsidR="00555A50" w:rsidRPr="003707E1" w:rsidRDefault="00525B96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  <w:r w:rsidR="00A125C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(22.2%)</w:t>
            </w:r>
          </w:p>
        </w:tc>
      </w:tr>
      <w:tr w:rsidR="003707E1" w14:paraId="79799480" w14:textId="77777777" w:rsidTr="003707E1">
        <w:trPr>
          <w:trHeight w:val="488"/>
          <w:jc w:val="center"/>
        </w:trPr>
        <w:tc>
          <w:tcPr>
            <w:tcW w:w="3537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6BEFA0F4" w14:textId="75BED577" w:rsidR="00555A50" w:rsidRPr="003707E1" w:rsidRDefault="00555A50" w:rsidP="00555A50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Constipation</w:t>
            </w:r>
            <w:r w:rsidR="003707E1"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, No. (%)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62FE94AB" w14:textId="5B4F5C96" w:rsidR="00555A50" w:rsidRPr="003707E1" w:rsidRDefault="00555A50" w:rsidP="00D8278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10</w:t>
            </w:r>
            <w:r w:rsid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(25.6%)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5B9A50D7" w14:textId="2E079B2B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 w:rsidR="008C5B0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(11.1%)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4A1C3773" w14:textId="4CD0B24D" w:rsidR="00555A50" w:rsidRPr="003707E1" w:rsidRDefault="00525B96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 w:rsidR="008C5B0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(8.3%)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37880D78" w14:textId="40E0EE86" w:rsidR="00555A50" w:rsidRPr="003707E1" w:rsidRDefault="00525B96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8</w:t>
            </w:r>
            <w:r w:rsidR="00A125C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(44.4%)</w:t>
            </w:r>
          </w:p>
        </w:tc>
      </w:tr>
      <w:tr w:rsidR="003707E1" w14:paraId="54CEFAFF" w14:textId="77777777" w:rsidTr="003707E1">
        <w:trPr>
          <w:trHeight w:val="488"/>
          <w:jc w:val="center"/>
        </w:trPr>
        <w:tc>
          <w:tcPr>
            <w:tcW w:w="3537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4D3BBD0A" w14:textId="35103D54" w:rsidR="00555A50" w:rsidRPr="003707E1" w:rsidRDefault="00555A50" w:rsidP="00555A50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 w:hint="eastAsia"/>
                <w:bCs/>
                <w:color w:val="000000" w:themeColor="text1"/>
                <w:sz w:val="18"/>
                <w:szCs w:val="18"/>
                <w:lang w:eastAsia="de-DE"/>
              </w:rPr>
              <w:t>Non-specific abdominal symptoms</w:t>
            </w:r>
            <w:r w:rsidR="003707E1"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, No. (%)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07D00EC4" w14:textId="6AE617CA" w:rsidR="00555A50" w:rsidRPr="003707E1" w:rsidRDefault="00555A50" w:rsidP="00D8278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9</w:t>
            </w:r>
            <w:r w:rsid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(23.1%)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53D3186B" w14:textId="34A4B6DA" w:rsidR="00555A50" w:rsidRPr="003707E1" w:rsidRDefault="00525B96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 w:rsidR="008C5B0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(11.1%)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645CA8F2" w14:textId="433373E8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2</w:t>
            </w:r>
            <w:r w:rsidR="008C5B0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(16.7%)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51CA3137" w14:textId="5454CA0D" w:rsidR="00555A50" w:rsidRPr="003707E1" w:rsidRDefault="00525B96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  <w:r w:rsidR="00A125C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(33.3</w:t>
            </w:r>
            <w:r w:rsidR="0029689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%</w:t>
            </w:r>
            <w:r w:rsidR="00A125C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  <w:r w:rsidR="00A57A58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b</w:t>
            </w:r>
          </w:p>
        </w:tc>
      </w:tr>
      <w:tr w:rsidR="003707E1" w14:paraId="3687E8BA" w14:textId="77777777" w:rsidTr="003707E1">
        <w:trPr>
          <w:trHeight w:val="488"/>
          <w:jc w:val="center"/>
        </w:trPr>
        <w:tc>
          <w:tcPr>
            <w:tcW w:w="3537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02EBE6A1" w14:textId="28353602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hAnsi="Times New Roman" w:cs="Times New Roman"/>
                <w:sz w:val="18"/>
                <w:szCs w:val="18"/>
              </w:rPr>
              <w:t xml:space="preserve">Antibiotics-associated </w:t>
            </w:r>
            <w:proofErr w:type="spellStart"/>
            <w:r w:rsidRPr="003707E1">
              <w:rPr>
                <w:rFonts w:ascii="Times New Roman" w:hAnsi="Times New Roman" w:cs="Times New Roman"/>
                <w:sz w:val="18"/>
                <w:szCs w:val="18"/>
              </w:rPr>
              <w:t>dysbiosis</w:t>
            </w:r>
            <w:r w:rsidR="000168C5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c</w:t>
            </w:r>
            <w:proofErr w:type="spellEnd"/>
            <w:r w:rsidR="003707E1"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, No. (%)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2EFB6B55" w14:textId="0BE4FDB7" w:rsidR="00555A50" w:rsidRPr="003707E1" w:rsidRDefault="00555A50" w:rsidP="00D8278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  <w:r w:rsid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(12.8%)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7E51793B" w14:textId="4525BFDA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3</w:t>
            </w:r>
            <w:r w:rsidR="008C5B0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(33.3%)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16A4D16F" w14:textId="6047A815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2</w:t>
            </w:r>
            <w:r w:rsidR="00A125C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(16.7%)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4C0352AF" w14:textId="60219EFD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0</w:t>
            </w:r>
            <w:r w:rsidR="00A125C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(0.0%)</w:t>
            </w:r>
          </w:p>
        </w:tc>
      </w:tr>
      <w:tr w:rsidR="003707E1" w14:paraId="68073207" w14:textId="77777777" w:rsidTr="003707E1">
        <w:trPr>
          <w:trHeight w:val="474"/>
          <w:jc w:val="center"/>
        </w:trPr>
        <w:tc>
          <w:tcPr>
            <w:tcW w:w="3537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07DB7F62" w14:textId="60E12AD6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de-DE"/>
              </w:rPr>
              <w:t>Immune-related enterocolitis</w:t>
            </w:r>
            <w:r w:rsidR="003707E1"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, No. (%)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304EFE47" w14:textId="6B3F2EC9" w:rsidR="00555A50" w:rsidRPr="003707E1" w:rsidRDefault="00555A50" w:rsidP="00D8278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 w:rsid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(2.6%)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7B395CAE" w14:textId="70C1FF52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0</w:t>
            </w:r>
            <w:r w:rsidR="008C5B0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(0.0%)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62A573B9" w14:textId="2A3DF3CC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 w:rsidR="00A125C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(8.3%)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00556B6F" w14:textId="361B5F74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0</w:t>
            </w:r>
            <w:r w:rsidR="00A125C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(0.0%)</w:t>
            </w:r>
          </w:p>
        </w:tc>
      </w:tr>
      <w:tr w:rsidR="003707E1" w14:paraId="222A25A3" w14:textId="77777777" w:rsidTr="003707E1">
        <w:trPr>
          <w:trHeight w:val="724"/>
          <w:jc w:val="center"/>
        </w:trPr>
        <w:tc>
          <w:tcPr>
            <w:tcW w:w="3537" w:type="dxa"/>
            <w:tcBorders>
              <w:top w:val="single" w:sz="18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4AC3D4F9" w14:textId="7D10CA02" w:rsidR="00555A50" w:rsidRPr="003707E1" w:rsidRDefault="00555A50" w:rsidP="002417D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Median dose (range)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3DBE46F5" w14:textId="32CC3298" w:rsidR="00555A50" w:rsidRPr="003707E1" w:rsidRDefault="00555A50" w:rsidP="00D8278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 w:hint="eastAsia"/>
                <w:bCs/>
                <w:color w:val="000000" w:themeColor="text1"/>
                <w:sz w:val="18"/>
                <w:szCs w:val="18"/>
              </w:rPr>
              <w:t>60</w:t>
            </w: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mg/day (60-120)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64D5489F" w14:textId="31DBF35B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 w:hint="eastAsia"/>
                <w:bCs/>
                <w:color w:val="000000" w:themeColor="text1"/>
                <w:sz w:val="18"/>
                <w:szCs w:val="18"/>
              </w:rPr>
              <w:t>60</w:t>
            </w: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mg/day (60-120)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654FDD3E" w14:textId="356F15D3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90mg/day (60-120)</w:t>
            </w:r>
          </w:p>
        </w:tc>
        <w:tc>
          <w:tcPr>
            <w:tcW w:w="2609" w:type="dxa"/>
            <w:tcBorders>
              <w:top w:val="single" w:sz="18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43E7796D" w14:textId="35656D3B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120mg/day (60-120)</w:t>
            </w:r>
          </w:p>
        </w:tc>
      </w:tr>
      <w:tr w:rsidR="003707E1" w14:paraId="75AC8193" w14:textId="77777777" w:rsidTr="003707E1">
        <w:trPr>
          <w:trHeight w:val="768"/>
          <w:jc w:val="center"/>
        </w:trPr>
        <w:tc>
          <w:tcPr>
            <w:tcW w:w="3537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019E895E" w14:textId="4B239F06" w:rsidR="00555A50" w:rsidRPr="003707E1" w:rsidRDefault="00555A50" w:rsidP="00555A50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Median duration of </w:t>
            </w:r>
            <w:r w:rsidRPr="003707E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probiotic CBT (range)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2E106339" w14:textId="64DEB462" w:rsidR="00555A50" w:rsidRPr="003707E1" w:rsidRDefault="00555A50" w:rsidP="00D8278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4 months (3 days-28 months)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74E166F8" w14:textId="0A353E25" w:rsidR="00555A50" w:rsidRPr="003707E1" w:rsidRDefault="00FE7AA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14 days</w:t>
            </w:r>
            <w:r w:rsidR="00555A50"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 xml:space="preserve"> (3 days-3 months)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06382857" w14:textId="286AE151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6 months (3 days-20 months)</w:t>
            </w:r>
          </w:p>
        </w:tc>
        <w:tc>
          <w:tcPr>
            <w:tcW w:w="2609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337048FB" w14:textId="2B05BCC8" w:rsidR="00555A50" w:rsidRPr="003707E1" w:rsidRDefault="00555A50" w:rsidP="00F701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707E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de-DE"/>
              </w:rPr>
              <w:t>10 months (15 days-28 months)</w:t>
            </w:r>
          </w:p>
        </w:tc>
      </w:tr>
    </w:tbl>
    <w:p w14:paraId="55FBB86F" w14:textId="77777777" w:rsidR="00E3145A" w:rsidRDefault="00E3145A" w:rsidP="00350E5A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9F92411" w14:textId="39E887A3" w:rsidR="008E67EC" w:rsidRPr="00E3145A" w:rsidRDefault="00824635" w:rsidP="00350E5A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14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Abbreviation: </w:t>
      </w:r>
      <w:r w:rsidR="00AD6A56" w:rsidRPr="00E3145A">
        <w:rPr>
          <w:rFonts w:ascii="Times New Roman" w:hAnsi="Times New Roman" w:cs="Times New Roman"/>
          <w:color w:val="000000" w:themeColor="text1"/>
          <w:sz w:val="20"/>
          <w:szCs w:val="20"/>
        </w:rPr>
        <w:t>ICI, immune checkpoint inhibitor;</w:t>
      </w:r>
      <w:r w:rsidR="00AD6A56" w:rsidRPr="00E3145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e-DE"/>
        </w:rPr>
        <w:t xml:space="preserve"> </w:t>
      </w:r>
      <w:r w:rsidR="00AD6A56" w:rsidRPr="00E3145A">
        <w:rPr>
          <w:rFonts w:ascii="Times New Roman" w:eastAsia="ＭＳ Ｐゴシック" w:hAnsi="Times New Roman" w:cs="Times New Roman"/>
          <w:bCs/>
          <w:color w:val="000000" w:themeColor="text1"/>
          <w:sz w:val="20"/>
          <w:szCs w:val="20"/>
        </w:rPr>
        <w:t xml:space="preserve">NSCLC, non-small cell lung cancer; </w:t>
      </w:r>
      <w:r w:rsidR="00DE2D58" w:rsidRPr="00E3145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e-DE"/>
        </w:rPr>
        <w:t>probiotic CBT,</w:t>
      </w:r>
      <w:r w:rsidR="00DE2D58" w:rsidRPr="00E3145A">
        <w:rPr>
          <w:rFonts w:ascii="Times New Roman" w:eastAsia="ＭＳ Ｐゴシック" w:hAnsi="Times New Roman" w:cs="Times New Roman"/>
          <w:bCs/>
          <w:color w:val="000000" w:themeColor="text1"/>
          <w:sz w:val="20"/>
          <w:szCs w:val="20"/>
        </w:rPr>
        <w:t xml:space="preserve"> p</w:t>
      </w:r>
      <w:r w:rsidR="00AD6A56" w:rsidRPr="00E3145A">
        <w:rPr>
          <w:rFonts w:ascii="Times New Roman" w:eastAsia="ＭＳ Ｐゴシック" w:hAnsi="Times New Roman" w:cs="Times New Roman"/>
          <w:bCs/>
          <w:color w:val="000000" w:themeColor="text1"/>
          <w:sz w:val="20"/>
          <w:szCs w:val="20"/>
        </w:rPr>
        <w:t xml:space="preserve">robiotic </w:t>
      </w:r>
      <w:r w:rsidR="00AD6A56" w:rsidRPr="00E3145A">
        <w:rPr>
          <w:rFonts w:ascii="Times New Roman" w:eastAsia="ＭＳ Ｐゴシック" w:hAnsi="Times New Roman" w:cs="Times New Roman"/>
          <w:bCs/>
          <w:i/>
          <w:iCs/>
          <w:color w:val="000000" w:themeColor="text1"/>
          <w:sz w:val="20"/>
          <w:szCs w:val="20"/>
        </w:rPr>
        <w:t xml:space="preserve">Clostridium </w:t>
      </w:r>
      <w:proofErr w:type="spellStart"/>
      <w:r w:rsidR="00AD6A56" w:rsidRPr="00E3145A">
        <w:rPr>
          <w:rFonts w:ascii="Times New Roman" w:eastAsia="ＭＳ Ｐゴシック" w:hAnsi="Times New Roman" w:cs="Times New Roman"/>
          <w:bCs/>
          <w:i/>
          <w:iCs/>
          <w:color w:val="000000" w:themeColor="text1"/>
          <w:sz w:val="20"/>
          <w:szCs w:val="20"/>
        </w:rPr>
        <w:t>butyricum</w:t>
      </w:r>
      <w:proofErr w:type="spellEnd"/>
      <w:r w:rsidR="00AD6A56" w:rsidRPr="00E314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therapy</w:t>
      </w:r>
      <w:r w:rsidR="00426B56" w:rsidRPr="00E314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E3145A" w:rsidRPr="00A57A58">
        <w:rPr>
          <w:rFonts w:ascii="Times New Roman" w:hAnsi="Times New Roman" w:cs="Times New Roman"/>
          <w:b/>
          <w:color w:val="000000" w:themeColor="text1"/>
          <w:vertAlign w:val="superscript"/>
        </w:rPr>
        <w:t>a</w:t>
      </w:r>
      <w:r w:rsidR="00426B56" w:rsidRPr="00E3145A">
        <w:rPr>
          <w:rFonts w:ascii="Times New Roman" w:hAnsi="Times New Roman" w:cs="Times New Roman"/>
          <w:color w:val="000000" w:themeColor="text1"/>
          <w:sz w:val="20"/>
          <w:szCs w:val="20"/>
        </w:rPr>
        <w:t>Initial</w:t>
      </w:r>
      <w:proofErr w:type="spellEnd"/>
      <w:r w:rsidR="00426B56" w:rsidRPr="00E314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indications for probiotic CBT are shown.</w:t>
      </w:r>
      <w:r w:rsidR="00044A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57A58">
        <w:rPr>
          <w:rFonts w:ascii="Times New Roman" w:hAnsi="Times New Roman" w:cs="Times New Roman"/>
          <w:b/>
          <w:color w:val="000000" w:themeColor="text1"/>
          <w:vertAlign w:val="superscript"/>
        </w:rPr>
        <w:t>b</w:t>
      </w:r>
      <w:r w:rsidR="00044AD4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proofErr w:type="spellEnd"/>
      <w:r w:rsidR="00044A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patient started probiotic CBT for non-specific abdominal symptoms </w:t>
      </w:r>
      <w:r w:rsidR="00D94A38">
        <w:rPr>
          <w:rFonts w:ascii="Times New Roman" w:hAnsi="Times New Roman" w:cs="Times New Roman"/>
          <w:color w:val="000000" w:themeColor="text1"/>
          <w:sz w:val="20"/>
          <w:szCs w:val="20"/>
        </w:rPr>
        <w:t>before ICI and then developed a</w:t>
      </w:r>
      <w:bookmarkStart w:id="0" w:name="_GoBack"/>
      <w:bookmarkEnd w:id="0"/>
      <w:r w:rsidR="00044A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4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grade 2 </w:t>
      </w:r>
      <w:r w:rsidR="00044A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immune-related enterocolitis during ICI therapy. </w:t>
      </w:r>
      <w:proofErr w:type="spellStart"/>
      <w:r w:rsidR="009B5458">
        <w:rPr>
          <w:rFonts w:ascii="Times New Roman" w:hAnsi="Times New Roman" w:cs="Times New Roman"/>
          <w:b/>
          <w:color w:val="000000" w:themeColor="text1"/>
          <w:vertAlign w:val="superscript"/>
        </w:rPr>
        <w:t>c</w:t>
      </w:r>
      <w:r w:rsidR="009B5458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9B5458">
        <w:rPr>
          <w:rFonts w:ascii="Times New Roman" w:hAnsi="Times New Roman" w:cs="Times New Roman"/>
          <w:color w:val="000000" w:themeColor="text1"/>
          <w:sz w:val="20"/>
          <w:szCs w:val="20"/>
        </w:rPr>
        <w:t>robiotic</w:t>
      </w:r>
      <w:proofErr w:type="spellEnd"/>
      <w:r w:rsidR="009B54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CBT</w:t>
      </w:r>
      <w:r w:rsidR="009B54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prophylactically initiated </w:t>
      </w:r>
      <w:r w:rsidR="009B545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</w:t>
      </w:r>
      <w:r w:rsidR="009B545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or all 5 patients</w:t>
      </w:r>
      <w:r w:rsidR="009B545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</w:p>
    <w:sectPr w:rsidR="008E67EC" w:rsidRPr="00E3145A" w:rsidSect="00350E5A">
      <w:pgSz w:w="16840" w:h="11900" w:orient="landscape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E"/>
    <w:rsid w:val="000101D1"/>
    <w:rsid w:val="000168C5"/>
    <w:rsid w:val="00026723"/>
    <w:rsid w:val="00030064"/>
    <w:rsid w:val="000423A4"/>
    <w:rsid w:val="00044AD4"/>
    <w:rsid w:val="000654C2"/>
    <w:rsid w:val="000749C0"/>
    <w:rsid w:val="0008592A"/>
    <w:rsid w:val="00090310"/>
    <w:rsid w:val="00096A22"/>
    <w:rsid w:val="000979D7"/>
    <w:rsid w:val="00097FEE"/>
    <w:rsid w:val="000A0A45"/>
    <w:rsid w:val="000A2509"/>
    <w:rsid w:val="000A4E5B"/>
    <w:rsid w:val="000B4D2D"/>
    <w:rsid w:val="000B70E7"/>
    <w:rsid w:val="000C050D"/>
    <w:rsid w:val="000C3438"/>
    <w:rsid w:val="00102872"/>
    <w:rsid w:val="0010420D"/>
    <w:rsid w:val="0011399A"/>
    <w:rsid w:val="00116843"/>
    <w:rsid w:val="0012368B"/>
    <w:rsid w:val="0013238E"/>
    <w:rsid w:val="00141E8A"/>
    <w:rsid w:val="0015609E"/>
    <w:rsid w:val="00164BCF"/>
    <w:rsid w:val="001669E4"/>
    <w:rsid w:val="00166BB3"/>
    <w:rsid w:val="00173014"/>
    <w:rsid w:val="001845CE"/>
    <w:rsid w:val="00184937"/>
    <w:rsid w:val="001A5FFE"/>
    <w:rsid w:val="001B10DC"/>
    <w:rsid w:val="001B215C"/>
    <w:rsid w:val="001B3E52"/>
    <w:rsid w:val="001D13EB"/>
    <w:rsid w:val="001D1574"/>
    <w:rsid w:val="001F0D17"/>
    <w:rsid w:val="001F1D49"/>
    <w:rsid w:val="00206C2C"/>
    <w:rsid w:val="00216CBD"/>
    <w:rsid w:val="002279AA"/>
    <w:rsid w:val="002417D0"/>
    <w:rsid w:val="00244416"/>
    <w:rsid w:val="0024722F"/>
    <w:rsid w:val="002512BC"/>
    <w:rsid w:val="00252322"/>
    <w:rsid w:val="00253745"/>
    <w:rsid w:val="00257F79"/>
    <w:rsid w:val="00264BEF"/>
    <w:rsid w:val="0027172D"/>
    <w:rsid w:val="00272066"/>
    <w:rsid w:val="00272C49"/>
    <w:rsid w:val="00275408"/>
    <w:rsid w:val="002814FF"/>
    <w:rsid w:val="00296890"/>
    <w:rsid w:val="002B3698"/>
    <w:rsid w:val="002B535E"/>
    <w:rsid w:val="002D05B5"/>
    <w:rsid w:val="002F47F4"/>
    <w:rsid w:val="002F5E46"/>
    <w:rsid w:val="002F6C03"/>
    <w:rsid w:val="003040D2"/>
    <w:rsid w:val="00305BFE"/>
    <w:rsid w:val="003142B8"/>
    <w:rsid w:val="0031604B"/>
    <w:rsid w:val="0031651B"/>
    <w:rsid w:val="003205FF"/>
    <w:rsid w:val="00326186"/>
    <w:rsid w:val="003365A2"/>
    <w:rsid w:val="00345522"/>
    <w:rsid w:val="003470D3"/>
    <w:rsid w:val="00350E5A"/>
    <w:rsid w:val="003658C9"/>
    <w:rsid w:val="00366DB7"/>
    <w:rsid w:val="0036715D"/>
    <w:rsid w:val="003675D8"/>
    <w:rsid w:val="003707E1"/>
    <w:rsid w:val="00370953"/>
    <w:rsid w:val="00371639"/>
    <w:rsid w:val="00384C82"/>
    <w:rsid w:val="0038673F"/>
    <w:rsid w:val="00396605"/>
    <w:rsid w:val="003A4E88"/>
    <w:rsid w:val="003A6663"/>
    <w:rsid w:val="003C6364"/>
    <w:rsid w:val="003D049B"/>
    <w:rsid w:val="003D53BD"/>
    <w:rsid w:val="003E3083"/>
    <w:rsid w:val="0040711B"/>
    <w:rsid w:val="00416895"/>
    <w:rsid w:val="00426B56"/>
    <w:rsid w:val="00427696"/>
    <w:rsid w:val="004420DB"/>
    <w:rsid w:val="004436FB"/>
    <w:rsid w:val="00444453"/>
    <w:rsid w:val="00447820"/>
    <w:rsid w:val="00452C67"/>
    <w:rsid w:val="00474547"/>
    <w:rsid w:val="004819DA"/>
    <w:rsid w:val="0048572E"/>
    <w:rsid w:val="004925E7"/>
    <w:rsid w:val="00495112"/>
    <w:rsid w:val="00497DE3"/>
    <w:rsid w:val="004A024E"/>
    <w:rsid w:val="004A5AFF"/>
    <w:rsid w:val="004C1764"/>
    <w:rsid w:val="004C36A3"/>
    <w:rsid w:val="004D58B1"/>
    <w:rsid w:val="004E7D0F"/>
    <w:rsid w:val="004F46DD"/>
    <w:rsid w:val="00525B96"/>
    <w:rsid w:val="00526692"/>
    <w:rsid w:val="00530569"/>
    <w:rsid w:val="00535F65"/>
    <w:rsid w:val="00554455"/>
    <w:rsid w:val="00555A50"/>
    <w:rsid w:val="0055679C"/>
    <w:rsid w:val="00556BCE"/>
    <w:rsid w:val="005648F2"/>
    <w:rsid w:val="00572194"/>
    <w:rsid w:val="0057339E"/>
    <w:rsid w:val="005979A8"/>
    <w:rsid w:val="005A002E"/>
    <w:rsid w:val="005A34BF"/>
    <w:rsid w:val="005A3632"/>
    <w:rsid w:val="005A38FF"/>
    <w:rsid w:val="005C7FD3"/>
    <w:rsid w:val="006002DA"/>
    <w:rsid w:val="006044D7"/>
    <w:rsid w:val="00622844"/>
    <w:rsid w:val="006273EA"/>
    <w:rsid w:val="00642B04"/>
    <w:rsid w:val="00643C2A"/>
    <w:rsid w:val="00643EF9"/>
    <w:rsid w:val="00650C69"/>
    <w:rsid w:val="0066137E"/>
    <w:rsid w:val="00671A75"/>
    <w:rsid w:val="00686826"/>
    <w:rsid w:val="006A34EF"/>
    <w:rsid w:val="006B3734"/>
    <w:rsid w:val="006B42BE"/>
    <w:rsid w:val="006B4535"/>
    <w:rsid w:val="006B50DA"/>
    <w:rsid w:val="006B547C"/>
    <w:rsid w:val="006C68AD"/>
    <w:rsid w:val="006D4ADB"/>
    <w:rsid w:val="006E0573"/>
    <w:rsid w:val="006E322E"/>
    <w:rsid w:val="006F29E3"/>
    <w:rsid w:val="0070040A"/>
    <w:rsid w:val="007005D4"/>
    <w:rsid w:val="00735D06"/>
    <w:rsid w:val="007379CB"/>
    <w:rsid w:val="007570A5"/>
    <w:rsid w:val="00762686"/>
    <w:rsid w:val="00763195"/>
    <w:rsid w:val="00766F48"/>
    <w:rsid w:val="0077221D"/>
    <w:rsid w:val="0077433A"/>
    <w:rsid w:val="00782001"/>
    <w:rsid w:val="007B0101"/>
    <w:rsid w:val="007B5D71"/>
    <w:rsid w:val="007C12E3"/>
    <w:rsid w:val="007E2288"/>
    <w:rsid w:val="007E3067"/>
    <w:rsid w:val="007E56EB"/>
    <w:rsid w:val="00802E70"/>
    <w:rsid w:val="00805D94"/>
    <w:rsid w:val="00812668"/>
    <w:rsid w:val="00824635"/>
    <w:rsid w:val="00827734"/>
    <w:rsid w:val="00833C93"/>
    <w:rsid w:val="008341FB"/>
    <w:rsid w:val="0086176D"/>
    <w:rsid w:val="008623D9"/>
    <w:rsid w:val="00872DCC"/>
    <w:rsid w:val="008761F9"/>
    <w:rsid w:val="00891769"/>
    <w:rsid w:val="0089348E"/>
    <w:rsid w:val="008A1021"/>
    <w:rsid w:val="008C5B0A"/>
    <w:rsid w:val="008E4EFE"/>
    <w:rsid w:val="008E67EC"/>
    <w:rsid w:val="008F030C"/>
    <w:rsid w:val="008F71A2"/>
    <w:rsid w:val="009029A8"/>
    <w:rsid w:val="00905DB3"/>
    <w:rsid w:val="0090710D"/>
    <w:rsid w:val="0091467C"/>
    <w:rsid w:val="00921233"/>
    <w:rsid w:val="009223BE"/>
    <w:rsid w:val="00931EEE"/>
    <w:rsid w:val="00942681"/>
    <w:rsid w:val="0094305D"/>
    <w:rsid w:val="00951BC9"/>
    <w:rsid w:val="00954635"/>
    <w:rsid w:val="009761F6"/>
    <w:rsid w:val="00987BD7"/>
    <w:rsid w:val="00991DCD"/>
    <w:rsid w:val="009A45F2"/>
    <w:rsid w:val="009A79B5"/>
    <w:rsid w:val="009B1ADA"/>
    <w:rsid w:val="009B5458"/>
    <w:rsid w:val="00A06E9B"/>
    <w:rsid w:val="00A10C68"/>
    <w:rsid w:val="00A125CE"/>
    <w:rsid w:val="00A132E1"/>
    <w:rsid w:val="00A22080"/>
    <w:rsid w:val="00A46086"/>
    <w:rsid w:val="00A563B4"/>
    <w:rsid w:val="00A56DE1"/>
    <w:rsid w:val="00A57A58"/>
    <w:rsid w:val="00A57C81"/>
    <w:rsid w:val="00A7551A"/>
    <w:rsid w:val="00A75745"/>
    <w:rsid w:val="00A91FD6"/>
    <w:rsid w:val="00A953CD"/>
    <w:rsid w:val="00AD6A56"/>
    <w:rsid w:val="00AE0609"/>
    <w:rsid w:val="00B02327"/>
    <w:rsid w:val="00B121D4"/>
    <w:rsid w:val="00B129B3"/>
    <w:rsid w:val="00B1496B"/>
    <w:rsid w:val="00B21FE7"/>
    <w:rsid w:val="00B34D5B"/>
    <w:rsid w:val="00B54D43"/>
    <w:rsid w:val="00B55617"/>
    <w:rsid w:val="00B62046"/>
    <w:rsid w:val="00B73CA1"/>
    <w:rsid w:val="00B86AEF"/>
    <w:rsid w:val="00B930DE"/>
    <w:rsid w:val="00BA0C38"/>
    <w:rsid w:val="00BA383B"/>
    <w:rsid w:val="00BB23E5"/>
    <w:rsid w:val="00BB532B"/>
    <w:rsid w:val="00BD11D8"/>
    <w:rsid w:val="00BE14BC"/>
    <w:rsid w:val="00BE2B12"/>
    <w:rsid w:val="00BE3BCB"/>
    <w:rsid w:val="00BF11C7"/>
    <w:rsid w:val="00BF2704"/>
    <w:rsid w:val="00BF2A12"/>
    <w:rsid w:val="00C002C6"/>
    <w:rsid w:val="00C0038F"/>
    <w:rsid w:val="00C01D0B"/>
    <w:rsid w:val="00C025D6"/>
    <w:rsid w:val="00C0642D"/>
    <w:rsid w:val="00C17668"/>
    <w:rsid w:val="00C25F79"/>
    <w:rsid w:val="00C42A0D"/>
    <w:rsid w:val="00C45F07"/>
    <w:rsid w:val="00C53C3C"/>
    <w:rsid w:val="00C555E8"/>
    <w:rsid w:val="00C56098"/>
    <w:rsid w:val="00C6391F"/>
    <w:rsid w:val="00C774B7"/>
    <w:rsid w:val="00C904DC"/>
    <w:rsid w:val="00CA6646"/>
    <w:rsid w:val="00CB1061"/>
    <w:rsid w:val="00CB1A9D"/>
    <w:rsid w:val="00CC43E8"/>
    <w:rsid w:val="00CC5575"/>
    <w:rsid w:val="00CC6ADD"/>
    <w:rsid w:val="00CD0770"/>
    <w:rsid w:val="00CD728A"/>
    <w:rsid w:val="00CD79BA"/>
    <w:rsid w:val="00CE042B"/>
    <w:rsid w:val="00CE0698"/>
    <w:rsid w:val="00CF6A0B"/>
    <w:rsid w:val="00CF777E"/>
    <w:rsid w:val="00D01AF1"/>
    <w:rsid w:val="00D177D3"/>
    <w:rsid w:val="00D3467B"/>
    <w:rsid w:val="00D36A09"/>
    <w:rsid w:val="00D37E03"/>
    <w:rsid w:val="00D43828"/>
    <w:rsid w:val="00D4427D"/>
    <w:rsid w:val="00D44B80"/>
    <w:rsid w:val="00D66EFE"/>
    <w:rsid w:val="00D71850"/>
    <w:rsid w:val="00D8278F"/>
    <w:rsid w:val="00D84A49"/>
    <w:rsid w:val="00D86FA4"/>
    <w:rsid w:val="00D94A38"/>
    <w:rsid w:val="00D96F2C"/>
    <w:rsid w:val="00DA37DE"/>
    <w:rsid w:val="00DA5564"/>
    <w:rsid w:val="00DA567C"/>
    <w:rsid w:val="00DB05D8"/>
    <w:rsid w:val="00DB345F"/>
    <w:rsid w:val="00DB639D"/>
    <w:rsid w:val="00DD0F30"/>
    <w:rsid w:val="00DD3F3C"/>
    <w:rsid w:val="00DD4821"/>
    <w:rsid w:val="00DD6C71"/>
    <w:rsid w:val="00DD7826"/>
    <w:rsid w:val="00DE2B5F"/>
    <w:rsid w:val="00DE2CAF"/>
    <w:rsid w:val="00DE2D58"/>
    <w:rsid w:val="00DF7DDA"/>
    <w:rsid w:val="00E3145A"/>
    <w:rsid w:val="00E32A91"/>
    <w:rsid w:val="00E477AE"/>
    <w:rsid w:val="00E5567D"/>
    <w:rsid w:val="00E55D52"/>
    <w:rsid w:val="00E57214"/>
    <w:rsid w:val="00E67D9C"/>
    <w:rsid w:val="00E75E53"/>
    <w:rsid w:val="00E83778"/>
    <w:rsid w:val="00EA208C"/>
    <w:rsid w:val="00EB1756"/>
    <w:rsid w:val="00EB7278"/>
    <w:rsid w:val="00EC70C8"/>
    <w:rsid w:val="00ED1FBD"/>
    <w:rsid w:val="00EE547E"/>
    <w:rsid w:val="00EF3896"/>
    <w:rsid w:val="00F016D4"/>
    <w:rsid w:val="00F05D92"/>
    <w:rsid w:val="00F1558E"/>
    <w:rsid w:val="00F164A5"/>
    <w:rsid w:val="00F17791"/>
    <w:rsid w:val="00F37484"/>
    <w:rsid w:val="00F37F28"/>
    <w:rsid w:val="00F42DB0"/>
    <w:rsid w:val="00F4351A"/>
    <w:rsid w:val="00F67F30"/>
    <w:rsid w:val="00F70113"/>
    <w:rsid w:val="00F71A20"/>
    <w:rsid w:val="00F76842"/>
    <w:rsid w:val="00F945A1"/>
    <w:rsid w:val="00F96E76"/>
    <w:rsid w:val="00FB1608"/>
    <w:rsid w:val="00FB1E95"/>
    <w:rsid w:val="00FB5121"/>
    <w:rsid w:val="00FB7B56"/>
    <w:rsid w:val="00FC6AEA"/>
    <w:rsid w:val="00FE7AA0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CC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560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p1">
    <w:name w:val="p1"/>
    <w:basedOn w:val="a"/>
    <w:rsid w:val="008E67EC"/>
    <w:pPr>
      <w:widowControl/>
      <w:jc w:val="left"/>
    </w:pPr>
    <w:rPr>
      <w:rFonts w:ascii="Helvetica" w:hAnsi="Helvetica" w:cs="Times New Roman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A51F84-8F23-974C-B5E5-8464A152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雄介</dc:creator>
  <cp:keywords/>
  <dc:description/>
  <cp:lastModifiedBy>冨田 雄介</cp:lastModifiedBy>
  <cp:revision>39</cp:revision>
  <dcterms:created xsi:type="dcterms:W3CDTF">2020-05-05T12:45:00Z</dcterms:created>
  <dcterms:modified xsi:type="dcterms:W3CDTF">2020-05-20T01:34:00Z</dcterms:modified>
</cp:coreProperties>
</file>